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и кластеризация инцидентов утечки данных для оценки применимости технологий блокчейна в защите информации</w:t>
      </w:r>
    </w:p>
    <w:p>
      <w:r>
        <w:t>Групповой учебный проект по дисциплине «Блокчейн»</w:t>
        <w:br/>
        <w:t>Итоговый отчёт · 6 октября 2026 года</w:t>
      </w:r>
    </w:p>
    <w:p>
      <w:pPr>
        <w:pStyle w:val="Heading1"/>
      </w:pPr>
      <w:r>
        <w:t>Цель и постановка задачи</w:t>
      </w:r>
    </w:p>
    <w:p>
      <w:r>
        <w:t>Цель работы — выделить похожие сценарии публично описанных утечек и определить, какие задачи защиты могут обосновывать применение блокчейна. Для этого выполнены очистка VCDB, описательный анализ, кластеризация, архитектурное сравнение и учебная проверка целостности журнала.</w:t>
      </w:r>
    </w:p>
    <w:p>
      <w:r>
        <w:t>Главный вывод: принадлежность инцидента кластеру сама по себе не обосновывает блокчейн. Для одного оператора достаточно рассматривать обычную базу и независимо проверяемый журнал. Распределённый реестр становится кандидатом при совместном аудите нескольких независимых организаций и отсутствии приемлемого единого оператора [3, 6].</w:t>
      </w:r>
    </w:p>
    <w:p>
      <w:pPr>
        <w:pStyle w:val="Heading1"/>
      </w:pPr>
      <w:r>
        <w:t>Данные и состав выборки</w:t>
      </w:r>
    </w:p>
    <w:p>
      <w:r>
        <w:t>Использован открытый VCDB [1, 2], снимок от 30 сентября 2026 года. Единица наблюдения — карточка источника, а не человек. Проект не содержит баз паролей или контактных данных пострадавших. HIBP сохранён как дополнительный каталог, но не объединяется с VCDB из-за возможного пересечения событий.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623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Карточек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Исходный снимок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10 047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Раздел validated репозитория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Основная выборка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6911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Confirmed и раскрытие Yes, без Ineligible и коллизий 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Кластеризация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5347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Содержательные данные во всех четырёх семействах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Матрица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253 признака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Бинарные категории, без null и NaN</w:t>
            </w:r>
          </w:p>
        </w:tc>
      </w:tr>
    </w:tbl>
    <w:p/>
    <w:p>
      <w:r>
        <w:t>67 карточек имеют коллизии исходных incident_id. Они сохранены и помечены, но исключены из основного анализа. Название раздела validated не означает независимую проверку каждого факта. Лицензия производных данных и графиков — CC BY-SA 4.0.</w:t>
      </w:r>
    </w:p>
    <w:p>
      <w:r>
        <w:br w:type="page"/>
      </w:r>
    </w:p>
    <w:p>
      <w:pPr>
        <w:pStyle w:val="Heading1"/>
      </w:pPr>
      <w:r>
        <w:t>Метод анализа и кластеризации</w:t>
      </w:r>
    </w:p>
    <w:p>
      <w:r>
        <w:t>В матрицу вошли четыре семейства: действия с разновидностями и векторами, тип участника, виды активов и виды раскрытых данных. Внутри каждого семейства карточка представлена набором зарегистрированных категорий. Unknown и NA не становятся фиктивными категориями сходства. Ноль означает, что категория не записана, а не доказанное отсутствие свойства.</w:t>
      </w:r>
    </w:p>
    <w:p>
      <w:r>
        <w:t>Для двух наборов используется расстояние Жаккара: 1 − |A ∩ B| / |A ∪ B|. Итоговое расстояние — среднее четырёх расстояний с равными весами 25%. Совместные нули не увеличивают сходство. Идентификаторы, организации, страна, год и размер утечки в расстояние не входят.</w:t>
      </w:r>
    </w:p>
    <w:p>
      <w:r>
        <w:t>PAM выбирает реальные карточки-медоиды. Проверены k от 2 до 8 на трёх подвыборках по 1000 карточек. Общие 600 оценочных карточек не входят в эти подвыборки. Остальные полные карточки назначаются ближайшему медоиду. Это приближённая кластеризация всего набора.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Разделение групп при разных k. Источник данных: VCDB; расчёт проекта.</w:t>
      </w:r>
    </w:p>
    <w:p>
      <w:r>
        <w:t>Выбран максимальный средний silhouette среди вариантов со средним ARI ≥ 0,7 и минимальной долей группы ≥ 2% на оценочном наборе. Это эвристические критерии исследовательского выбора, а не доказательство истинного числа классов. Оценочный набор участвует в выборе k, поэтому показатель не является независимой точностью прогноза.</w:t>
      </w:r>
    </w:p>
    <w:p>
      <w:r>
        <w:br w:type="page"/>
      </w:r>
    </w:p>
    <w:p>
      <w:pPr>
        <w:pStyle w:val="Heading1"/>
      </w:pPr>
      <w:r>
        <w:t>Результаты и устойчивость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566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Карточек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Характеристики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Преимущественно внутренние сценарии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2478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internal 93,9%; error 53,8%; misuse 44,3%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Преимущественно внешние сценарии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2869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external 98,5%; hacking 76,3%; malware 40,9%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Доли зарегистрированных действий внутри групп. Категории пересекаются. VCDB; расчёт проекта.</w:t>
      </w:r>
    </w:p>
    <w:p>
      <w:r>
        <w:t>При k=2 средний silhouette равен 0,339, ARI между подвыборками — 0,868. Разделение умеренное. При k=3 ARI выше (0,954), но silhouette ниже (0,280). При упрощении действий до категорий ARI составляет 0,947, а при исключении actor — только 0,178. Следовательно, два сценария существенно зависят от признака типа участника и не являются универсальной новой типологией.</w:t>
      </w:r>
    </w:p>
    <w:p>
      <w:r>
        <w:t>Известный размер имеется у 1477 карточек первой группы и 1076 второй; медианы — 703 и 9000 записей. Это описание неполных наблюдений, а не причинная оценка ущерба. Отбор полных карточек также смещён: сектор 92 составляет 788 из 1564 исключённых случаев и 897 из 5347 включённых.</w:t>
      </w:r>
    </w:p>
    <w:p>
      <w:r>
        <w:br w:type="page"/>
      </w:r>
    </w:p>
    <w:p>
      <w:pPr>
        <w:pStyle w:val="Heading1"/>
      </w:pPr>
      <w:r>
        <w:t>Сравнение архитектур защиты</w:t>
      </w:r>
    </w:p>
    <w:p>
      <w:r>
        <w:t>Кластеризация описывает сходство инцидентов. Оценка архитектуры отвечает другому вопросу: кто имеет право менять историю и кому доверяют проверяющие. Сравнение ниже — инженерный анализ на основе источников [3–7]; стоимость эксплуатации и снижение вероятности утечек экспериментально не измерялись.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458"/>
        <w:gridCol w:w="425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Подход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Проверяемое свойство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Предпосылка и ограничение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База данных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Согласованность операций и разграничение доступа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Доверие оператору; привилегированные изменения требуют независимого аудита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Журнал с хеш-цепочкой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Нарушение связности и отличие от доверенной контрольной отметки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Сам хеш не подтверждает автора; владелец всей истории может пересчитать цепочку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Цифровая подпись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Целостность документа и связь с ключом подписанта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Нужна доверенная привязка ключа к субъекту и защита ключа; истинность текста не проверяется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Permissioned-блокчейн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Совместно проверяемая история нескольких участников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Зависит от правил консенсуса, управления и независимости узлов; не защищает конечную систему сам по себе</w:t>
            </w:r>
          </w:p>
        </w:tc>
      </w:tr>
    </w:tbl>
    <w:p/>
    <w:p>
      <w:r>
        <w:t>Контроль целостности, авторства и конфиденциальности — разные свойства. Хеширование и подпись не скрывают содержание. Блокчейн не предотвращает фишинг, ошибочную публикацию или выгрузку данных с захваченного сервера. Ошибочная запись, корректно подписанная уполномоченным участником, может сохраниться в реестре [3, 4].</w:t>
      </w:r>
    </w:p>
    <w:p>
      <w:r>
        <w:t>Для одного оператора версионируемая база, удалённый сбор журналов и подписанные контрольные отметки являются разумной исходной архитектурой. Это качественный вывод о сложности управления, а не доказанная экономия. Permissioned-сеть имеет смысл оценивать при независимых владельцах записей и необходимости совместного подтверждения [5, 6].</w:t>
      </w:r>
    </w:p>
    <w:p>
      <w:r>
        <w:t>Hyperledger Fabric рассматривается как пример такой платформы, а не как внедрённый компонент проекта. Его private data collections могут ограничивать распространение содержимого, оставляя хеши в журнале канала. Хеш низкоэнтропийного значения нельзя считать достаточным сокрытием [6, 7].</w:t>
      </w:r>
    </w:p>
    <w:p>
      <w:r>
        <w:br w:type="page"/>
      </w:r>
    </w:p>
    <w:p>
      <w:pPr>
        <w:pStyle w:val="Heading1"/>
      </w:pPr>
      <w:r>
        <w:t>Сценарии и предлагаемые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742"/>
        <w:gridCol w:w="3572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Основные меры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Возможная роль блокчейна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Ошибочная отправка или публикация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Проверка получателя и настроек, минимальные права, согласование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Фиксация межорганизационных согласований при наличии такой потребности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Злоупотребление доступом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Разделение полномочий, удалённый журнал, контроль выгрузок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Совместная история подтверждений, если узлы действительно независимы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Внешний взлом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Защита учётных записей, обновления, сегментация, мониторинг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Регистрация свидетельств расследования как дополнительная задача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Повреждение файлов вредоносным ПО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Изолированные резервные копии, проверка восстановления, защита устройств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Сопоставление с ранее зарегистрированными контрольными хешами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Совместный реестр инцидентов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Версионирование, подписи, независимый архив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Реестр ID, версии и хеша при отсутствии единого доверенного оператора</w:t>
            </w:r>
          </w:p>
        </w:tc>
      </w:tr>
    </w:tbl>
    <w:p/>
    <w:p>
      <w:r>
        <w:t>Сопоставление со сценариями носит иллюстративный характер. В данных нет эксперимента, который показывал бы, что конкретная мера уменьшает ущерб определённого кластера. Подробная матрица содержит условия применимости и ограничения в project_materials/scenarios.csv.</w:t>
      </w:r>
    </w:p>
    <w:p>
      <w:pPr>
        <w:pStyle w:val="Heading1"/>
      </w:pPr>
      <w:r>
        <w:t>Вариант архитектуры для дальнейшего исследования</w:t>
      </w:r>
    </w:p>
    <w:p>
      <w:r>
        <w:t>Подробные карточки остаются в контролируемой внешней базе. Участник сериализует версию карточки по согласованному формату и получает хеш. Подписанная транзакция содержит ID, версию и хеш; независимые стороны подтверждают запись по общей политике. Проверяющий получает карточку, заново вычисляет хеш и сравнивает его с журналом.</w:t>
      </w:r>
    </w:p>
    <w:p>
      <w:r>
        <w:t>Предварительно необходимо определить владельцев узлов, политику подтверждения, отзыв ключей, доступ к содержимому и действия при ошибочных записях. Хеш не восстанавливает удалённый файл и не подтверждает правдивость описания. Эта архитектура предложена; развёртывание сети и смарт-контракта в выполненную работу не входит.</w:t>
      </w:r>
    </w:p>
    <w:p>
      <w:r>
        <w:br w:type="page"/>
      </w:r>
    </w:p>
    <w:p>
      <w:pPr>
        <w:pStyle w:val="Heading1"/>
      </w:pPr>
      <w:r>
        <w:t>Учебный эксперимент с целостностью журнала</w:t>
      </w:r>
    </w:p>
    <w:p>
      <w:r>
        <w:t>Выполнен воспроизводимый эксперимент integrity_demo.py на синтетических событиях. Каждая запись содержит номер, событие и предыдущий хеш; SHA-256 вычисляется по JSON с сортировкой ключей, без необязательных пробелов, в UTF-8. Формат запрещает NaN. Это локальное соглашение сериализации, а не заявление о реализации стандарта JCS.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701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Цепочка согласована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Checkpoint совпал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60" w:line="252" w:lineRule="auto"/>
            </w:pPr>
            <w:r>
              <w:rPr>
                <w:b/>
                <w:sz w:val="18"/>
              </w:rPr>
              <w:t>Принят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Неизменный журнал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Подмена без пересчёта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Подмена с полным пересчётом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Удаление последней записи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18"/>
              </w:rPr>
              <w:t>Нет</w:t>
            </w:r>
          </w:p>
        </w:tc>
      </w:tr>
    </w:tbl>
    <w:p/>
    <w:p>
      <w:r>
        <w:t>Подмена без пересчёта нарушает внутреннюю согласованность, хотя сохранённый последний хеш остаётся прежним. При полном пересчёте или удалении хвоста внутренняя проверка проходит, но контрольная отметка не совпадает. Принятие требует обеих проверок.</w:t>
      </w:r>
    </w:p>
    <w:p>
      <w:r>
        <w:t>Контрольная отметка включает длину журнала и последний хеш. В эксперименте она лежит в отдельном файле, который только моделирует независимое доверенное хранение. Нарушитель с доступом и к журналу, и к контрольной отметке может заменить обе копии. Поэтому опыт демонстрирует значение границы доверия, а не защищённость папки с файлами.</w:t>
      </w:r>
    </w:p>
    <w:p>
      <w:r>
        <w:t>Блокчейн-сеть, консенсус и цифровые подписи в опыте не реализованы. Проверка не устанавливает автора, истинность событий и полноту их регистрации. Заявлений о пропускной способности или предотвращении утечек нет.</w:t>
      </w:r>
    </w:p>
    <w:p>
      <w:pPr>
        <w:pStyle w:val="Heading1"/>
      </w:pPr>
      <w:r>
        <w:t>Воспроизведение</w:t>
      </w:r>
    </w:p>
    <w:p>
      <w:r>
        <w:t>Открыть OpenBaseSearch.Rproj и выполнить source("run_project.R", encoding = "UTF-8"). Запуск выполняет анализ, кластеризацию, опыт и создание HTML-отчёта. Нужны R с пакетом cluster и Python 3.10+. Без Python используются сохранённые результаты опыта с сообщением об этом.</w:t>
      </w:r>
    </w:p>
    <w:p>
      <w:r>
        <w:t>Отдельно: python3 prepare_clusters.py; python3 integrity_demo.py; python3 -m unittest -v. Проверяются входная матрица, геометрия расстояний, раздельность подвыборок и сценарии подмены. Данные для запуска уже включены, интернет не требуется.</w:t>
      </w:r>
    </w:p>
    <w:p>
      <w:r>
        <w:br w:type="page"/>
      </w:r>
    </w:p>
    <w:p>
      <w:pPr>
        <w:pStyle w:val="Heading1"/>
      </w:pPr>
      <w:r>
        <w:t>Выводы и источники</w:t>
      </w:r>
    </w:p>
    <w:p>
      <w:r>
        <w:t>Работа дала воспроизводимый анализ 6911 карточек и кластеризацию 5347 полных наблюдений. Две широкие группы удобны для описания внутренних и внешних сценариев, но чувствительны к выбору признаков. Открытый каталог и отбор полных случаев ограничивают перенос выводов на все организации.</w:t>
      </w:r>
    </w:p>
    <w:p>
      <w:r>
        <w:t>Наиболее обоснованная область дальнейшего применения блокчейна — совместная регистрация версий свидетельств несколькими независимыми сторонами. Для локального учебного анализа VCDB распределённая сеть не требуется. Выбор технологии должен следовать модели доверия, а не названию кластера.</w:t>
      </w:r>
    </w:p>
    <w:p>
      <w:r>
        <w:t>Учебный опыт подтвердил в заданной модели: одной внутренней хеш-связности недостаточно против владельца всей истории. Нужен независимый доверенный ориентир. Это свойство не доказывает преимущества конкретного блокчейна над подписанным архивом; для такого сравнения требуется отдельный стенд.</w:t>
      </w:r>
    </w:p>
    <w:p>
      <w:pPr>
        <w:pStyle w:val="Heading1"/>
      </w:pPr>
      <w:r>
        <w:t>Источники</w:t>
      </w:r>
    </w:p>
    <w:p>
      <w:r>
        <w:rPr>
          <w:sz w:val="17"/>
        </w:rPr>
        <w:t>[1] VERIS Community Database, снимок f6f98c00f66ab35f5b49977a5852ce94a5bb31d1</w:t>
        <w:br/>
        <w:t>https://github.com/vz-risk/VCDB/tree/f6f98c00f66ab35f5b49977a5852ce94a5bb31d1</w:t>
      </w:r>
    </w:p>
    <w:p>
      <w:r>
        <w:rPr>
          <w:sz w:val="17"/>
        </w:rPr>
        <w:t>[2] VERIS Framework, описание полей и типов инцидентов</w:t>
        <w:br/>
        <w:t>https://verisframework.org/</w:t>
      </w:r>
    </w:p>
    <w:p>
      <w:r>
        <w:rPr>
          <w:sz w:val="17"/>
        </w:rPr>
        <w:t>[3] NIST IR 8202 — Blockchain Technology Overview (2018)</w:t>
        <w:br/>
        <w:t>https://csrc.nist.gov/pubs/ir/8202/final</w:t>
      </w:r>
    </w:p>
    <w:p>
      <w:r>
        <w:rPr>
          <w:sz w:val="17"/>
        </w:rPr>
        <w:t>[4] NIST FIPS 186-5 — Digital Signature Standard (2023)</w:t>
        <w:br/>
        <w:t>https://csrc.nist.gov/pubs/fips/186-5/final</w:t>
      </w:r>
    </w:p>
    <w:p>
      <w:r>
        <w:rPr>
          <w:sz w:val="17"/>
        </w:rPr>
        <w:t>[5] NIST SP 800-92 — Guide to Computer Security Log Management (2006)</w:t>
        <w:br/>
        <w:t>https://csrc.nist.gov/pubs/sp/800/92/final</w:t>
      </w:r>
    </w:p>
    <w:p>
      <w:r>
        <w:rPr>
          <w:sz w:val="17"/>
        </w:rPr>
        <w:t>[6] Hyperledger Fabric — Introduction</w:t>
        <w:br/>
        <w:t>https://hyperledger-fabric.readthedocs.io/en/latest/whatis.html</w:t>
      </w:r>
    </w:p>
    <w:p>
      <w:r>
        <w:rPr>
          <w:sz w:val="17"/>
        </w:rPr>
        <w:t>[7] Hyperledger Fabric — Private data</w:t>
        <w:br/>
        <w:t>https://hyperledger-fabric.readthedocs.io/en/latest/private-data/private-data.html</w:t>
      </w:r>
    </w:p>
    <w:p>
      <w:r>
        <w:t>Дата проверки технических источников — 6 октября 2026 года. Для журналирования использована окончательная SP 800-92 (2006); проект не выдаёт проект Rev. 1 за окончательный стандарт. Воспроизводимость данных задаётся commit и SHA-256 файлов в manifest.json.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утечек и применимость блокчейна</dc:title>
  <dc:subject/>
  <dc:creator>OpenBaseSearch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