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pageBreakBefore w:val="0"/>
        <w:jc w:val="center"/>
      </w:pPr>
      <w:r>
        <w:rPr>
          <w:rFonts w:ascii="Microsoft YaHei" w:hAnsi="Microsoft YaHei" w:eastAsia="Microsoft YaHei"/>
          <w:b/>
          <w:color w:val="1F4E79"/>
          <w:sz w:val="44"/>
        </w:rPr>
        <w:t>易灵思 Ti60F225 2D 图像渲染</w:t>
        <w:br/>
        <w:t>V2 一周升级计划书</w:t>
      </w:r>
    </w:p>
    <w:p>
      <w:pPr>
        <w:pageBreakBefore w:val="0"/>
        <w:jc w:val="center"/>
      </w:pPr>
      <w:r>
        <w:rPr>
          <w:rFonts w:ascii="Microsoft YaHei" w:hAnsi="Microsoft YaHei" w:eastAsia="Microsoft YaHei"/>
          <w:b/>
          <w:color w:val="595959"/>
          <w:sz w:val="26"/>
        </w:rPr>
        <w:t>以太网资源服务 + 植物防线式全屏 Demo</w:t>
      </w:r>
    </w:p>
    <w:p>
      <w:pPr>
        <w:pageBreakBefore w:val="0"/>
        <w:jc w:val="center"/>
      </w:pPr>
      <w:r>
        <w:rPr>
          <w:rFonts w:ascii="Microsoft YaHei" w:hAnsi="Microsoft YaHei" w:eastAsia="Microsoft YaHei"/>
          <w:b w:val="0"/>
          <w:color w:val="646464"/>
          <w:sz w:val="19"/>
        </w:rPr>
        <w:t>生效日期：2026-09-17    计划周期：7 天    状态：唯一有效后续计划</w:t>
      </w:r>
    </w:p>
    <w:p>
      <w:pPr>
        <w:pStyle w:val="Heading1"/>
        <w:pageBreakBefore w:val="0"/>
      </w:pPr>
      <w:r>
        <w:t>一、目标与范围</w:t>
      </w:r>
    </w:p>
    <w:p>
      <w:pPr>
        <w:pageBreakBefore w:val="0"/>
      </w:pPr>
      <w:r>
        <w:t>本计划以当前已上板运行的代码为 V1 基线。七天内只完成两个目标：第一，补齐任务书中尚缺的 CPU 纯软件渲染与 AetherGX 硬件渲染可视化对比，以及稳定 60 FPS 的 Sprite 数量极限测试；第二，复用官方千兆以太网 Demo，把 PC 变成只提供资源文件的外部存储服务器，并把演示升级为植物防线式 1080p 全屏游戏。</w:t>
      </w:r>
    </w:p>
    <w:p>
      <w:pPr>
        <w:pageBreakBefore w:val="0"/>
      </w:pPr>
      <w:r>
        <w:t>游戏玩法与画面布局不是创新重点。优先移植许可清晰的开源 C 代码，禁止为体现工作量而重新发明植物、敌人、弹丸、波次、网格或经济系统。团队工作的重点仍是 Sapphire RISC-V 资源管理与游戏调度、FPGA 网络/内存通路以及 AetherGX 2D 渲染。</w:t>
      </w:r>
    </w:p>
    <w:p>
      <w:pPr>
        <w:pStyle w:val="Heading1"/>
        <w:pageBreakBefore w:val="0"/>
      </w:pPr>
      <w:r>
        <w:t>二、V1 基线与明确缺口</w:t>
      </w:r>
    </w:p>
    <w:p>
      <w:pPr>
        <w:pStyle w:val="ListBullet"/>
        <w:pageBreakBefore w:val="0"/>
        <w:spacing w:after="40"/>
      </w:pPr>
      <w:r>
        <w:rPr>
          <w:rFonts w:ascii="Microsoft YaHei" w:hAnsi="Microsoft YaHei" w:eastAsia="Microsoft YaHei"/>
          <w:b w:val="0"/>
          <w:sz w:val="20"/>
        </w:rPr>
        <w:t>V1 已实现 Solid Fill、Block Copy、Color Key、Global Alpha、Sparse Blit、16 项非阻塞命令队列、AXI Burst、双缓冲 PRESENT、Scanout DMA、自适应 DDR QoS、性能计数和 HDMI 输出。</w:t>
      </w:r>
    </w:p>
    <w:p>
      <w:pPr>
        <w:pStyle w:val="ListBullet"/>
        <w:pageBreakBefore w:val="0"/>
        <w:spacing w:after="40"/>
      </w:pPr>
      <w:r>
        <w:rPr>
          <w:rFonts w:ascii="Microsoft YaHei" w:hAnsi="Microsoft YaHei" w:eastAsia="Microsoft YaHei"/>
          <w:b w:val="0"/>
          <w:sz w:val="20"/>
        </w:rPr>
        <w:t>V1 使用官方 Sapphire RISC-V 100 MHz、MT41J128M16JT-125 DDR3、RGB565 640×480 内部画面，并以 2×整数缩放居中输出 1920×1080@60 Hz。</w:t>
      </w:r>
    </w:p>
    <w:p>
      <w:pPr>
        <w:pStyle w:val="ListBullet"/>
        <w:pageBreakBefore w:val="0"/>
        <w:spacing w:after="40"/>
      </w:pPr>
      <w:r>
        <w:rPr>
          <w:rFonts w:ascii="Microsoft YaHei" w:hAnsi="Microsoft YaHei" w:eastAsia="Microsoft YaHei"/>
          <w:b w:val="0"/>
          <w:sz w:val="20"/>
        </w:rPr>
        <w:t>V1 已完成板上显示、固件执行到 mainDone、寄存器状态、DDR 固件回读和下溢计数检查。</w:t>
      </w:r>
    </w:p>
    <w:p>
      <w:pPr>
        <w:pStyle w:val="ListBullet"/>
        <w:pageBreakBefore w:val="0"/>
        <w:spacing w:after="40"/>
      </w:pPr>
      <w:r>
        <w:rPr>
          <w:rFonts w:ascii="Microsoft YaHei" w:hAnsi="Microsoft YaHei" w:eastAsia="Microsoft YaHei"/>
          <w:b w:val="0"/>
          <w:sz w:val="20"/>
        </w:rPr>
        <w:t>缺口 1：benchmark.c 已提供 CPU/GPU 周期比较函数，但 main.c 未调用，HUD 也未同时显示 CPU FPS、GPU FPS 和加速比。</w:t>
      </w:r>
    </w:p>
    <w:p>
      <w:pPr>
        <w:pStyle w:val="ListBullet"/>
        <w:pageBreakBefore w:val="0"/>
        <w:spacing w:after="40"/>
      </w:pPr>
      <w:r>
        <w:rPr>
          <w:rFonts w:ascii="Microsoft YaHei" w:hAnsi="Microsoft YaHei" w:eastAsia="Microsoft YaHei"/>
          <w:b w:val="0"/>
          <w:sz w:val="20"/>
        </w:rPr>
        <w:t>缺口 2：现有 300 帧流程没有按 Sprite 档位递增到失败，因此不能给出稳定 60 FPS 的最大 Sprite 数量。</w:t>
      </w:r>
    </w:p>
    <w:p>
      <w:pPr>
        <w:pStyle w:val="Heading1"/>
        <w:pageBreakBefore w:val="0"/>
      </w:pPr>
      <w:r>
        <w:t>三、固定系统架构</w:t>
      </w:r>
    </w:p>
    <w:p>
      <w:pPr>
        <w:pageBreakBefore w:val="0"/>
        <w:spacing w:after="40"/>
        <w:ind w:left="397"/>
      </w:pPr>
      <w:r>
        <w:rPr>
          <w:rFonts w:ascii="Consolas" w:hAnsi="Consolas" w:eastAsia="Consolas"/>
          <w:b w:val="0"/>
          <w:sz w:val="18"/>
        </w:rPr>
        <w:t>PC Asset Server -&gt; UDP 分块资源 -&gt; 官方 GE/RGMII + FPGA RX -&gt; Asset DMA -&gt; DDR3</w:t>
      </w:r>
    </w:p>
    <w:p>
      <w:pPr>
        <w:pageBreakBefore w:val="0"/>
        <w:spacing w:after="40"/>
        <w:ind w:left="397"/>
      </w:pPr>
      <w:r>
        <w:rPr>
          <w:rFonts w:ascii="Consolas" w:hAnsi="Consolas" w:eastAsia="Consolas"/>
          <w:b w:val="0"/>
          <w:sz w:val="18"/>
        </w:rPr>
        <w:t>Sapphire RISC-V -&gt; 资源请求/CRC/缓存/输入/游戏逻辑/碰撞/波次/动画 -&gt; GPU Commands</w:t>
      </w:r>
    </w:p>
    <w:p>
      <w:pPr>
        <w:pageBreakBefore w:val="0"/>
        <w:spacing w:after="40"/>
        <w:ind w:left="397"/>
      </w:pPr>
      <w:r>
        <w:rPr>
          <w:rFonts w:ascii="Consolas" w:hAnsi="Consolas" w:eastAsia="Consolas"/>
          <w:b w:val="0"/>
          <w:sz w:val="18"/>
        </w:rPr>
        <w:t>AetherGX -&gt; Fill/Copy/Key/Alpha/Sparse -&gt; 双缓冲 Framebuffer -&gt; HDMI 1080p60</w:t>
      </w:r>
    </w:p>
    <w:p>
      <w:pPr>
        <w:pStyle w:val="ListBullet"/>
        <w:pageBreakBefore w:val="0"/>
        <w:spacing w:after="40"/>
      </w:pPr>
      <w:r>
        <w:rPr>
          <w:rFonts w:ascii="Microsoft YaHei" w:hAnsi="Microsoft YaHei" w:eastAsia="Microsoft YaHei"/>
          <w:b w:val="0"/>
          <w:sz w:val="20"/>
        </w:rPr>
        <w:t>PC 只读取资源包并响应 GET 请求；禁止在 PC 上推进游戏状态、碰撞检测、动画、帧合成或 GPU 命令生成。</w:t>
      </w:r>
    </w:p>
    <w:p>
      <w:pPr>
        <w:pStyle w:val="ListBullet"/>
        <w:pageBreakBefore w:val="0"/>
        <w:spacing w:after="40"/>
      </w:pPr>
      <w:r>
        <w:rPr>
          <w:rFonts w:ascii="Microsoft YaHei" w:hAnsi="Microsoft YaHei" w:eastAsia="Microsoft YaHei"/>
          <w:b w:val="0"/>
          <w:sz w:val="20"/>
        </w:rPr>
        <w:t>Sapphire RISC-V 主动决定 asset_id、DDR 目标地址、请求时机、重试、CRC 校验、缓存淘汰和场景切换；网络断开后已缓存场景继续运行。</w:t>
      </w:r>
    </w:p>
    <w:p>
      <w:pPr>
        <w:pStyle w:val="ListBullet"/>
        <w:pageBreakBefore w:val="0"/>
        <w:spacing w:after="40"/>
      </w:pPr>
      <w:r>
        <w:rPr>
          <w:rFonts w:ascii="Microsoft YaHei" w:hAnsi="Microsoft YaHei" w:eastAsia="Microsoft YaHei"/>
          <w:b w:val="0"/>
          <w:sz w:val="20"/>
        </w:rPr>
        <w:t>FPGA 网络侧只完成 RGMII/MAC/UDP 数据通路、包过滤、FIFO/CDC 和 DDR 搬运，不解释地图语义和游戏规则。</w:t>
      </w:r>
    </w:p>
    <w:p>
      <w:pPr>
        <w:pStyle w:val="ListBullet"/>
        <w:pageBreakBefore w:val="0"/>
        <w:spacing w:after="40"/>
      </w:pPr>
      <w:r>
        <w:rPr>
          <w:rFonts w:ascii="Microsoft YaHei" w:hAnsi="Microsoft YaHei" w:eastAsia="Microsoft YaHei"/>
          <w:b w:val="0"/>
          <w:sz w:val="20"/>
        </w:rPr>
        <w:t>内部画面固定为 960×540 RGB565、stride=1920 字节；保持 Framebuffer A=0x02000000、B=0x02200000，2×输出 1920×1080 全屏。</w:t>
      </w:r>
    </w:p>
    <w:p>
      <w:pPr>
        <w:pStyle w:val="ListBullet"/>
        <w:pageBreakBefore w:val="0"/>
        <w:spacing w:after="40"/>
      </w:pPr>
      <w:r>
        <w:rPr>
          <w:rFonts w:ascii="Microsoft YaHei" w:hAnsi="Microsoft YaHei" w:eastAsia="Microsoft YaHei"/>
          <w:b w:val="0"/>
          <w:sz w:val="20"/>
        </w:rPr>
        <w:t>Dense 资源缓存使用 0x02400000 起始区域，Sparse 资源使用 0x06000000 起始区域，所有地址必须小于 0x10000000。</w:t>
      </w:r>
    </w:p>
    <w:p>
      <w:pPr>
        <w:pStyle w:val="Heading1"/>
        <w:pageBreakBefore w:val="0"/>
      </w:pPr>
      <w:r>
        <w:t>四、资源协议与接口冻结</w:t>
      </w:r>
    </w:p>
    <w:p>
      <w:pPr>
        <w:pageBreakBefore w:val="0"/>
      </w:pPr>
      <w:r>
        <w:t>V2 使用无连接、停等重传的 UDP 分块协议，避免一周内引入完整 TCP/lwIP。所有多字节字段采用网络字节序。单包载荷上限为 1024 字节。固定 32 字节头如下：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fill="D9EAF7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字段</w:t>
            </w:r>
          </w:p>
        </w:tc>
        <w:tc>
          <w:tcPr>
            <w:tcW w:type="dxa" w:w="2550"/>
            <w:shd w:fill="D9EAF7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宽度</w:t>
            </w:r>
          </w:p>
        </w:tc>
        <w:tc>
          <w:tcPr>
            <w:tcW w:type="dxa" w:w="2550"/>
            <w:shd w:fill="D9EAF7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取值/含义</w:t>
            </w:r>
          </w:p>
        </w:tc>
        <w:tc>
          <w:tcPr>
            <w:tcW w:type="dxa" w:w="2550"/>
            <w:shd w:fill="D9EAF7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校验责任</w:t>
            </w:r>
          </w:p>
        </w:tc>
      </w:tr>
      <w:tr>
        <w:tc>
          <w:tcPr>
            <w:tcW w:type="dxa" w:w="2550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magic</w:t>
            </w:r>
          </w:p>
        </w:tc>
        <w:tc>
          <w:tcPr>
            <w:tcW w:type="dxa" w:w="2550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32</w:t>
            </w:r>
          </w:p>
        </w:tc>
        <w:tc>
          <w:tcPr>
            <w:tcW w:type="dxa" w:w="2550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0x41535354 ('ASST')</w:t>
            </w:r>
          </w:p>
        </w:tc>
        <w:tc>
          <w:tcPr>
            <w:tcW w:type="dxa" w:w="2550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FPGA 先过滤，RISC-V 再确认</w:t>
            </w:r>
          </w:p>
        </w:tc>
      </w:tr>
      <w:tr>
        <w:tc>
          <w:tcPr>
            <w:tcW w:type="dxa" w:w="2550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version/type</w:t>
            </w:r>
          </w:p>
        </w:tc>
        <w:tc>
          <w:tcPr>
            <w:tcW w:type="dxa" w:w="2550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16+16</w:t>
            </w:r>
          </w:p>
        </w:tc>
        <w:tc>
          <w:tcPr>
            <w:tcW w:type="dxa" w:w="2550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版本 1；GET/DATA/ERROR</w:t>
            </w:r>
          </w:p>
        </w:tc>
        <w:tc>
          <w:tcPr>
            <w:tcW w:type="dxa" w:w="2550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双方拒绝未知值</w:t>
            </w:r>
          </w:p>
        </w:tc>
      </w:tr>
      <w:tr>
        <w:tc>
          <w:tcPr>
            <w:tcW w:type="dxa" w:w="2550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session</w:t>
            </w:r>
          </w:p>
        </w:tc>
        <w:tc>
          <w:tcPr>
            <w:tcW w:type="dxa" w:w="2550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32</w:t>
            </w:r>
          </w:p>
        </w:tc>
        <w:tc>
          <w:tcPr>
            <w:tcW w:type="dxa" w:w="2550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启动时由 RISC-V 生成</w:t>
            </w:r>
          </w:p>
        </w:tc>
        <w:tc>
          <w:tcPr>
            <w:tcW w:type="dxa" w:w="2550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丢弃旧会话包</w:t>
            </w:r>
          </w:p>
        </w:tc>
      </w:tr>
      <w:tr>
        <w:tc>
          <w:tcPr>
            <w:tcW w:type="dxa" w:w="2550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asset_id</w:t>
            </w:r>
          </w:p>
        </w:tc>
        <w:tc>
          <w:tcPr>
            <w:tcW w:type="dxa" w:w="2550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32</w:t>
            </w:r>
          </w:p>
        </w:tc>
        <w:tc>
          <w:tcPr>
            <w:tcW w:type="dxa" w:w="2550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manifest 中的资源编号</w:t>
            </w:r>
          </w:p>
        </w:tc>
        <w:tc>
          <w:tcPr>
            <w:tcW w:type="dxa" w:w="2550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RISC-V 决定</w:t>
            </w:r>
          </w:p>
        </w:tc>
      </w:tr>
      <w:tr>
        <w:tc>
          <w:tcPr>
            <w:tcW w:type="dxa" w:w="2550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offset</w:t>
            </w:r>
          </w:p>
        </w:tc>
        <w:tc>
          <w:tcPr>
            <w:tcW w:type="dxa" w:w="2550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32</w:t>
            </w:r>
          </w:p>
        </w:tc>
        <w:tc>
          <w:tcPr>
            <w:tcW w:type="dxa" w:w="2550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资源内字节偏移</w:t>
            </w:r>
          </w:p>
        </w:tc>
        <w:tc>
          <w:tcPr>
            <w:tcW w:type="dxa" w:w="2550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必须 4 字节对齐</w:t>
            </w:r>
          </w:p>
        </w:tc>
      </w:tr>
      <w:tr>
        <w:tc>
          <w:tcPr>
            <w:tcW w:type="dxa" w:w="2550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payload_len/flags</w:t>
            </w:r>
          </w:p>
        </w:tc>
        <w:tc>
          <w:tcPr>
            <w:tcW w:type="dxa" w:w="2550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16+16</w:t>
            </w:r>
          </w:p>
        </w:tc>
        <w:tc>
          <w:tcPr>
            <w:tcW w:type="dxa" w:w="2550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0..1024；LAST/RETRY</w:t>
            </w:r>
          </w:p>
        </w:tc>
        <w:tc>
          <w:tcPr>
            <w:tcW w:type="dxa" w:w="2550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禁止越界</w:t>
            </w:r>
          </w:p>
        </w:tc>
      </w:tr>
      <w:tr>
        <w:tc>
          <w:tcPr>
            <w:tcW w:type="dxa" w:w="2550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sequence</w:t>
            </w:r>
          </w:p>
        </w:tc>
        <w:tc>
          <w:tcPr>
            <w:tcW w:type="dxa" w:w="2550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32</w:t>
            </w:r>
          </w:p>
        </w:tc>
        <w:tc>
          <w:tcPr>
            <w:tcW w:type="dxa" w:w="2550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每块单调递增</w:t>
            </w:r>
          </w:p>
        </w:tc>
        <w:tc>
          <w:tcPr>
            <w:tcW w:type="dxa" w:w="2550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重复包不重复写入</w:t>
            </w:r>
          </w:p>
        </w:tc>
      </w:tr>
      <w:tr>
        <w:tc>
          <w:tcPr>
            <w:tcW w:type="dxa" w:w="2550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payload_crc32</w:t>
            </w:r>
          </w:p>
        </w:tc>
        <w:tc>
          <w:tcPr>
            <w:tcW w:type="dxa" w:w="2550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32</w:t>
            </w:r>
          </w:p>
        </w:tc>
        <w:tc>
          <w:tcPr>
            <w:tcW w:type="dxa" w:w="2550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DATA 载荷 CRC32</w:t>
            </w:r>
          </w:p>
        </w:tc>
        <w:tc>
          <w:tcPr>
            <w:tcW w:type="dxa" w:w="2550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RISC-V 完成提交前验证</w:t>
            </w:r>
          </w:p>
        </w:tc>
      </w:tr>
    </w:tbl>
    <w:p>
      <w:pPr>
        <w:pageBreakBefore w:val="0"/>
      </w:pPr>
      <w:r>
        <w:t>GET 超时为 20 ms，最多重试 5 次；超过次数后保留当前场景并在 HUD 显示网络错误。完整资源只有在分块齐全且 manifest CRC32 一致后才能进入可用缓存表。</w:t>
      </w:r>
    </w:p>
    <w:p>
      <w:pPr>
        <w:pStyle w:val="Heading1"/>
        <w:pageBreakBefore w:val="0"/>
      </w:pPr>
      <w:r>
        <w:t>五、开源游戏逻辑复用规则</w:t>
      </w:r>
    </w:p>
    <w:p>
      <w:pPr>
        <w:pStyle w:val="ListBullet"/>
        <w:pageBreakBefore w:val="0"/>
        <w:spacing w:after="40"/>
      </w:pPr>
      <w:r>
        <w:rPr>
          <w:rFonts w:ascii="Microsoft YaHei" w:hAnsi="Microsoft YaHei" w:eastAsia="Microsoft YaHei"/>
          <w:b w:val="0"/>
          <w:sz w:val="20"/>
        </w:rPr>
        <w:t>首选 ZombieGardenTD（C，MIT）：提取植物、敌人、弹丸、波次、5 行×9 列网格和输入状态机；删除 Raylib 绘制、音频和文件 I/O 调用，用本项目平台接口替换。</w:t>
      </w:r>
    </w:p>
    <w:p>
      <w:pPr>
        <w:pStyle w:val="ListBullet"/>
        <w:pageBreakBefore w:val="0"/>
        <w:spacing w:after="40"/>
      </w:pPr>
      <w:r>
        <w:rPr>
          <w:rFonts w:ascii="Microsoft YaHei" w:hAnsi="Microsoft YaHei" w:eastAsia="Microsoft YaHei"/>
          <w:b w:val="0"/>
          <w:sz w:val="20"/>
        </w:rPr>
        <w:t>PlantsVsZombies-CPP 只用于结构参考：采用无图形核心、固定时间步、只读渲染快照的分层方式；其 C++/SFML 代码不直接进入 RV32 固件。</w:t>
      </w:r>
    </w:p>
    <w:p>
      <w:pPr>
        <w:pStyle w:val="ListBullet"/>
        <w:pageBreakBefore w:val="0"/>
        <w:spacing w:after="40"/>
      </w:pPr>
      <w:r>
        <w:rPr>
          <w:rFonts w:ascii="Microsoft YaHei" w:hAnsi="Microsoft YaHei" w:eastAsia="Microsoft YaHei"/>
          <w:b w:val="0"/>
          <w:sz w:val="20"/>
        </w:rPr>
        <w:t>画面布局采用 960×540：顶部资源栏，左侧状态区，中间 5 行×9 列草地，右侧敌人入口；名称、Logo、字体和美术不得直接复制商业游戏。</w:t>
      </w:r>
    </w:p>
    <w:p>
      <w:pPr>
        <w:pStyle w:val="ListBullet"/>
        <w:pageBreakBefore w:val="0"/>
        <w:spacing w:after="40"/>
      </w:pPr>
      <w:r>
        <w:rPr>
          <w:rFonts w:ascii="Microsoft YaHei" w:hAnsi="Microsoft YaHei" w:eastAsia="Microsoft YaHei"/>
          <w:b w:val="0"/>
          <w:sz w:val="20"/>
        </w:rPr>
        <w:t>素材使用自制或 CC0/许可明确资源。所有导入代码和素材必须进入 THIRD_PARTY_NOTICES.md，并保存许可证副本；来源不明文件不得提交。</w:t>
      </w:r>
    </w:p>
    <w:p>
      <w:pPr>
        <w:pStyle w:val="ListBullet"/>
        <w:pageBreakBefore w:val="0"/>
        <w:spacing w:after="40"/>
      </w:pPr>
      <w:r>
        <w:rPr>
          <w:rFonts w:ascii="Microsoft YaHei" w:hAnsi="Microsoft YaHei" w:eastAsia="Microsoft YaHei"/>
          <w:b w:val="0"/>
          <w:sz w:val="20"/>
        </w:rPr>
        <w:t>lane_game.c 只维护确定性游戏状态；lane_scene.c 只把只读状态转换为 AetherGX 命令，禁止渲染函数反向修改游戏状态。</w:t>
      </w:r>
    </w:p>
    <w:p>
      <w:pPr>
        <w:pStyle w:val="Heading1"/>
        <w:pageBreakBefore w:val="0"/>
      </w:pPr>
      <w:r>
        <w:t>六、全局文件规则与完成标准</w:t>
      </w:r>
    </w:p>
    <w:p>
      <w:pPr>
        <w:pStyle w:val="ListBullet"/>
        <w:pageBreakBefore w:val="0"/>
        <w:spacing w:after="40"/>
      </w:pPr>
      <w:r>
        <w:rPr>
          <w:rFonts w:ascii="Microsoft YaHei" w:hAnsi="Microsoft YaHei" w:eastAsia="Microsoft YaHei"/>
          <w:b w:val="0"/>
          <w:sz w:val="20"/>
        </w:rPr>
        <w:t>每个新增或修改的 .v 文件只能包含一个 module；.vh 只允许常量、字段位置和宏。</w:t>
      </w:r>
    </w:p>
    <w:p>
      <w:pPr>
        <w:pStyle w:val="ListBullet"/>
        <w:pageBreakBefore w:val="0"/>
        <w:spacing w:after="40"/>
      </w:pPr>
      <w:r>
        <w:rPr>
          <w:rFonts w:ascii="Microsoft YaHei" w:hAnsi="Microsoft YaHei" w:eastAsia="Microsoft YaHei"/>
          <w:b w:val="0"/>
          <w:sz w:val="20"/>
        </w:rPr>
        <w:t>官方 Demo 原文件只复制到 vendor/ge_udp/ 并登记 vendor/manifest.sha256；禁止直接修改原始 Ti60F225_DemoBoard_v4。</w:t>
      </w:r>
    </w:p>
    <w:p>
      <w:pPr>
        <w:pStyle w:val="ListBullet"/>
        <w:pageBreakBefore w:val="0"/>
        <w:spacing w:after="40"/>
      </w:pPr>
      <w:r>
        <w:rPr>
          <w:rFonts w:ascii="Microsoft YaHei" w:hAnsi="Microsoft YaHei" w:eastAsia="Microsoft YaHei"/>
          <w:b w:val="0"/>
          <w:sz w:val="20"/>
        </w:rPr>
        <w:t>先写能失败的最小测试，再实现模块；每一天形成可单独审核的提交，不把三个人文件混在一个提交里。</w:t>
      </w:r>
    </w:p>
    <w:p>
      <w:pPr>
        <w:pStyle w:val="ListBullet"/>
        <w:pageBreakBefore w:val="0"/>
        <w:spacing w:after="40"/>
      </w:pPr>
      <w:r>
        <w:rPr>
          <w:rFonts w:ascii="Microsoft YaHei" w:hAnsi="Microsoft YaHei" w:eastAsia="Microsoft YaHei"/>
          <w:b w:val="0"/>
          <w:sz w:val="20"/>
        </w:rPr>
        <w:t>V2 完成条件：CPU/GPU 对比可见；Sprite 逐档极限可复现；PC 仅作资源服务器；断网后当前场景继续；960×540 全屏；连续 30 分钟无错误和下溢。</w:t>
      </w:r>
    </w:p>
    <w:p>
      <w:pPr>
        <w:pStyle w:val="Heading1"/>
        <w:pageBreakBefore w:val="0"/>
      </w:pPr>
      <w:r>
        <w:t>第 1 天：冻结 V2 合同，开始补缺口与千兆网复用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cantSplit/>
        </w:trPr>
        <w:tc>
          <w:tcPr>
            <w:tcW w:type="dxa" w:w="1417"/>
            <w:vAlign w:val="center"/>
            <w:shd w:fill="D9EAF7"/>
          </w:tcPr>
          <w:p>
            <w:pPr>
              <w:spacing w:after="20"/>
              <w:jc w:val="center"/>
            </w:pPr>
            <w:r>
              <w:rPr>
                <w:rFonts w:ascii="Microsoft YaHei" w:hAnsi="Microsoft YaHei" w:eastAsia="Microsoft YaHei"/>
                <w:b/>
                <w:color w:val="1F4E79"/>
                <w:sz w:val="20"/>
              </w:rPr>
              <w:t>负责人（Chisel）</w:t>
            </w:r>
          </w:p>
        </w:tc>
        <w:tc>
          <w:tcPr>
            <w:tcW w:type="dxa" w:w="7938"/>
            <w:vAlign w:val="top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提交文件：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docs/efinix_2d_gpu/v2_interface_contract.md；chisel/src/test/scala/gpu/GpuPerfCountersSpec.scala</w:t>
            </w:r>
          </w:p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文件/模块职责：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冻结 960×540 显存地址、Asset DMA 流接口、32 字节 UDP 头、三路 DDR 仲裁优先级；补充现有计数器快照/清零/64 位进位测试，不增加无实际消费者的新计数器。</w:t>
            </w:r>
          </w:p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输入：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现有 GpuMemoryMap、GpuPerfCounters、DdrQosArbiter、任务书缺口。</w:t>
            </w:r>
          </w:p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目标输出：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A、B 可直接引用的唯一接口合同；计数器测试通过。</w:t>
            </w:r>
          </w:p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依赖：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V1 寄存器保持兼容；等待 A 确认官方 GE 时钟/数据宽度。</w:t>
            </w:r>
          </w:p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当日验收：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合同字段完整；现有 39 项测试保持通过，新增边界用例通过。</w:t>
            </w:r>
          </w:p>
        </w:tc>
      </w:tr>
    </w:tbl>
    <w:p>
      <w:pPr>
        <w:pageBreakBefore w:val="0"/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cantSplit/>
        </w:trPr>
        <w:tc>
          <w:tcPr>
            <w:tcW w:type="dxa" w:w="1417"/>
            <w:vAlign w:val="center"/>
            <w:shd w:fill="D9EAF7"/>
          </w:tcPr>
          <w:p>
            <w:pPr>
              <w:spacing w:after="20"/>
              <w:jc w:val="center"/>
            </w:pPr>
            <w:r>
              <w:rPr>
                <w:rFonts w:ascii="Microsoft YaHei" w:hAnsi="Microsoft YaHei" w:eastAsia="Microsoft YaHei"/>
                <w:b/>
                <w:color w:val="1F4E79"/>
                <w:sz w:val="20"/>
              </w:rPr>
              <w:t>组员 A（Verilog）</w:t>
            </w:r>
          </w:p>
        </w:tc>
        <w:tc>
          <w:tcPr>
            <w:tcW w:type="dxa" w:w="7938"/>
            <w:vAlign w:val="top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提交文件：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board/efinix_ti60/vendor/ge_udp/**；board/efinix_ti60/vendor/manifest.sha256；board/efinix_ti60/rtl/net/efinix_ge_mac_wrapper.v；tb/verilog/tb_efinix_ge_mac_wrapper.sv</w:t>
            </w:r>
          </w:p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文件/模块职责：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从官方 04_Ti60F225_tse_hj_demo_v5 只复制 RGMII/GMII、MAC、ARP/IP/UDP、PHY 配置及其 IP 依赖；wrapper 把官方 UDP RAM 接口转换为 rx_byte/rx_valid/rx_last/rx_length，并暴露 link/speed。</w:t>
            </w:r>
          </w:p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输入：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板上 RGMII RX、MDIO、复位和官方 GE 源文件。</w:t>
            </w:r>
          </w:p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目标输出：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校验通过的 UDP 载荷字节流；RGMII TX/MDIO/PHY reset；link/speed 状态。</w:t>
            </w:r>
          </w:p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依赖：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负责人 v2_interface_contract.md；官方 GE 引脚与时钟定义。</w:t>
            </w:r>
          </w:p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当日验收：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vendor 哈希全部匹配；回环测试接收 64/1024 字节包且坏校验包不产生 rx_valid。</w:t>
            </w:r>
          </w:p>
        </w:tc>
      </w:tr>
    </w:tbl>
    <w:p>
      <w:pPr>
        <w:pageBreakBefore w:val="0"/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cantSplit/>
        </w:trPr>
        <w:tc>
          <w:tcPr>
            <w:tcW w:type="dxa" w:w="1417"/>
            <w:vAlign w:val="center"/>
            <w:shd w:fill="D9EAF7"/>
          </w:tcPr>
          <w:p>
            <w:pPr>
              <w:spacing w:after="20"/>
              <w:jc w:val="center"/>
            </w:pPr>
            <w:r>
              <w:rPr>
                <w:rFonts w:ascii="Microsoft YaHei" w:hAnsi="Microsoft YaHei" w:eastAsia="Microsoft YaHei"/>
                <w:b/>
                <w:color w:val="1F4E79"/>
                <w:sz w:val="20"/>
              </w:rPr>
              <w:t>组员 B（C）</w:t>
            </w:r>
          </w:p>
        </w:tc>
        <w:tc>
          <w:tcPr>
            <w:tcW w:type="dxa" w:w="7938"/>
            <w:vAlign w:val="top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提交文件：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sw/efinix_gpu/src/benchmark.c；sw/efinix_gpu/src/hud.c；sw/efinix_gpu/include/hud.h；sw/efinix_gpu/src/main.c；sw/efinix_gpu/tests/test_cpu_gpu_compare.c</w:t>
            </w:r>
          </w:p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文件/模块职责：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在启动阶段实际调用 gpu_benchmark()；把 CPU cycles、GPU cycles、等效 FPS 和加速比写入 HUD，CPU/GPU CRC 不同则禁止显示 PASS。</w:t>
            </w:r>
          </w:p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输入：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同一固定矩形场景、CPU framebuffer、GPU framebuffer、100 MHz cycle 计数。</w:t>
            </w:r>
          </w:p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目标输出：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屏幕同时显示 CPU FPS、GPU FPS、倍率和 CRC 状态；UART 输出 CSV 行。</w:t>
            </w:r>
          </w:p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依赖：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现有 golden_fill、gpu_fill_async、hud_build_metrics。</w:t>
            </w:r>
          </w:p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当日验收：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主机测试验证相同 CRC 和计算公式；板上两组数值均非零且 GPU 结果正确。</w:t>
            </w:r>
          </w:p>
        </w:tc>
      </w:tr>
    </w:tbl>
    <w:p>
      <w:pPr>
        <w:pageBreakBefore w:val="0"/>
        <w:spacing w:after="20"/>
      </w:pPr>
    </w:p>
    <w:p>
      <w:pPr>
        <w:pStyle w:val="Heading1"/>
        <w:pageBreakBefore w:val="0"/>
      </w:pPr>
      <w:r>
        <w:t>第 2 天：完成 Sprite 极限测试，并打通 GE 基础收发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cantSplit/>
        </w:trPr>
        <w:tc>
          <w:tcPr>
            <w:tcW w:type="dxa" w:w="1417"/>
            <w:vAlign w:val="center"/>
            <w:shd w:fill="D9EAF7"/>
          </w:tcPr>
          <w:p>
            <w:pPr>
              <w:spacing w:after="20"/>
              <w:jc w:val="center"/>
            </w:pPr>
            <w:r>
              <w:rPr>
                <w:rFonts w:ascii="Microsoft YaHei" w:hAnsi="Microsoft YaHei" w:eastAsia="Microsoft YaHei"/>
                <w:b/>
                <w:color w:val="1F4E79"/>
                <w:sz w:val="20"/>
              </w:rPr>
              <w:t>负责人（Chisel）</w:t>
            </w:r>
          </w:p>
        </w:tc>
        <w:tc>
          <w:tcPr>
            <w:tcW w:type="dxa" w:w="7938"/>
            <w:vAlign w:val="top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提交文件：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chisel/src/test/scala/gpu/Efinix2dGpuTopSpec.scala；docs/efinix_2d_gpu/v1_gap_acceptance.md</w:t>
            </w:r>
          </w:p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文件/模块职责：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用 16/32/64/96/128 Sprite 等价命令流核验命令队列、tag 顺序和性能计数不丢失；只记录硬件合同，不在 Chisel 中实现游戏压力生成器。</w:t>
            </w:r>
          </w:p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输入：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B 生成的固定命令向量；现有 APB/AXI 仿真内存模型。</w:t>
            </w:r>
          </w:p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目标输出：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各档命令数、完成 tag、像素数和错误码的仿真证据。</w:t>
            </w:r>
          </w:p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依赖：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B 的 stress_vectors.bin 格式；A 无依赖。</w:t>
            </w:r>
          </w:p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当日验收：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全部档位无命令丢失/乱序；报告明确硬件仿真结果不冒充板上 FPS。</w:t>
            </w:r>
          </w:p>
        </w:tc>
      </w:tr>
    </w:tbl>
    <w:p>
      <w:pPr>
        <w:pageBreakBefore w:val="0"/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cantSplit/>
        </w:trPr>
        <w:tc>
          <w:tcPr>
            <w:tcW w:type="dxa" w:w="1417"/>
            <w:vAlign w:val="center"/>
            <w:shd w:fill="D9EAF7"/>
          </w:tcPr>
          <w:p>
            <w:pPr>
              <w:spacing w:after="20"/>
              <w:jc w:val="center"/>
            </w:pPr>
            <w:r>
              <w:rPr>
                <w:rFonts w:ascii="Microsoft YaHei" w:hAnsi="Microsoft YaHei" w:eastAsia="Microsoft YaHei"/>
                <w:b/>
                <w:color w:val="1F4E79"/>
                <w:sz w:val="20"/>
              </w:rPr>
              <w:t>组员 A（Verilog）</w:t>
            </w:r>
          </w:p>
        </w:tc>
        <w:tc>
          <w:tcPr>
            <w:tcW w:type="dxa" w:w="7938"/>
            <w:vAlign w:val="top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提交文件：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board/efinix_ti60/rtl/net/asset_udp_rx.v；board/efinix_ti60/rtl/net/asset_protocol.vh；board/efinix_ti60/rtl/net/asset_rx_fifo.v；tb/verilog/tb_asset_udp_rx.sv</w:t>
            </w:r>
          </w:p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文件/模块职责：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解析固定 32 字节 ASST 头，只接受版本 1 DATA 包；检查长度、4 字节对齐、session 和 sequence，把头元数据与载荷写入跨时钟 FIFO。</w:t>
            </w:r>
          </w:p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输入：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efinix_ge_mac_wrapper 的 UDP 载荷字节流；当前 session。</w:t>
            </w:r>
          </w:p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目标输出：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meta_valid/meta_ready + asset_id/offset/length/sequence/crc32；payload_valid/payload_ready/payload_data。</w:t>
            </w:r>
          </w:p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依赖：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第 1 天接口合同和 wrapper。</w:t>
            </w:r>
          </w:p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当日验收：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覆盖合法、坏 magic、坏版本、超长、重复 sequence、随机反压和 FIFO 满；每个错误只增加一次计数。</w:t>
            </w:r>
          </w:p>
        </w:tc>
      </w:tr>
    </w:tbl>
    <w:p>
      <w:pPr>
        <w:pageBreakBefore w:val="0"/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cantSplit/>
        </w:trPr>
        <w:tc>
          <w:tcPr>
            <w:tcW w:type="dxa" w:w="1417"/>
            <w:vAlign w:val="center"/>
            <w:shd w:fill="D9EAF7"/>
          </w:tcPr>
          <w:p>
            <w:pPr>
              <w:spacing w:after="20"/>
              <w:jc w:val="center"/>
            </w:pPr>
            <w:r>
              <w:rPr>
                <w:rFonts w:ascii="Microsoft YaHei" w:hAnsi="Microsoft YaHei" w:eastAsia="Microsoft YaHei"/>
                <w:b/>
                <w:color w:val="1F4E79"/>
                <w:sz w:val="20"/>
              </w:rPr>
              <w:t>组员 B（C）</w:t>
            </w:r>
          </w:p>
        </w:tc>
        <w:tc>
          <w:tcPr>
            <w:tcW w:type="dxa" w:w="7938"/>
            <w:vAlign w:val="top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提交文件：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sw/efinix_gpu/src/stress_benchmark.c；sw/efinix_gpu/include/stress_benchmark.h；sw/efinix_gpu/tests/test_sprite_limit.c；tb/vectors/stress_vectors.bin；sw/efinix_gpu/src/main.c</w:t>
            </w:r>
          </w:p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文件/模块职责：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 16、32、64、96、128……递增 Sprite；每档固定随机种子运行 300 帧；p5 FPS≥60、underflow=0、hardware_error=0 才进入下一档，首个失败档前一档即稳定上限。</w:t>
            </w:r>
          </w:p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输入：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可复制 Sprite 资源、帧缓冲、GPU 计数器和固定随机种子。</w:t>
            </w:r>
          </w:p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目标输出：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屏幕/UART 显示 current tier、p5 FPS、underflow、稳定上限；生成命令向量供负责人测试。</w:t>
            </w:r>
          </w:p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依赖：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第 1 天 HUD；现有 benchmark_summarize_run。</w:t>
            </w:r>
          </w:p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当日验收：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算法测试覆盖恰好 60 FPS、一次下溢、错误码和首档失败；上板结果可重复。</w:t>
            </w:r>
          </w:p>
        </w:tc>
      </w:tr>
    </w:tbl>
    <w:p>
      <w:pPr>
        <w:pageBreakBefore w:val="0"/>
        <w:spacing w:after="20"/>
      </w:pPr>
    </w:p>
    <w:p>
      <w:pPr>
        <w:pStyle w:val="Heading1"/>
        <w:pageBreakBefore w:val="0"/>
      </w:pPr>
      <w:r>
        <w:t>第 3 天：建立 PC 资源服务器与 Asset DMA 控制面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cantSplit/>
        </w:trPr>
        <w:tc>
          <w:tcPr>
            <w:tcW w:type="dxa" w:w="1417"/>
            <w:vAlign w:val="center"/>
            <w:shd w:fill="D9EAF7"/>
          </w:tcPr>
          <w:p>
            <w:pPr>
              <w:spacing w:after="20"/>
              <w:jc w:val="center"/>
            </w:pPr>
            <w:r>
              <w:rPr>
                <w:rFonts w:ascii="Microsoft YaHei" w:hAnsi="Microsoft YaHei" w:eastAsia="Microsoft YaHei"/>
                <w:b/>
                <w:color w:val="1F4E79"/>
                <w:sz w:val="20"/>
              </w:rPr>
              <w:t>负责人（Chisel）</w:t>
            </w:r>
          </w:p>
        </w:tc>
        <w:tc>
          <w:tcPr>
            <w:tcW w:type="dxa" w:w="7938"/>
            <w:vAlign w:val="top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提交文件：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chisel/src/main/scala/gpu/AssetDmaRegs.scala；chisel/src/test/scala/gpu/AssetDmaRegsSpec.scala；chisel/src/main/scala/gpu/GpuMemoryMap.scala</w:t>
            </w:r>
          </w:p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文件/模块职责：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在 GPU APB 窗口新增 Asset DMA 影子寄存器：session、dst_addr、asset_id、expected_offset、expected_sequence、max_length、START/ABORT、STATUS 和计数；CPU 写 START 后才允许对应包写 DDR。</w:t>
            </w:r>
          </w:p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输入：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Sapphire APB；A 的 meta 流；B 的请求参数。</w:t>
            </w:r>
          </w:p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目标输出：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冻结后的 DMA 描述符和状态；拒绝越界、错 session、错 offset/sequence。</w:t>
            </w:r>
          </w:p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依赖：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第 1 天合同；Framebuffer/资源地址边界。</w:t>
            </w:r>
          </w:p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当日验收：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APB 正反压、ABORT、重复包和 0x10000000 越界测试通过；V1 寄存器偏移不变。</w:t>
            </w:r>
          </w:p>
        </w:tc>
      </w:tr>
    </w:tbl>
    <w:p>
      <w:pPr>
        <w:pageBreakBefore w:val="0"/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cantSplit/>
        </w:trPr>
        <w:tc>
          <w:tcPr>
            <w:tcW w:type="dxa" w:w="1417"/>
            <w:vAlign w:val="center"/>
            <w:shd w:fill="D9EAF7"/>
          </w:tcPr>
          <w:p>
            <w:pPr>
              <w:spacing w:after="20"/>
              <w:jc w:val="center"/>
            </w:pPr>
            <w:r>
              <w:rPr>
                <w:rFonts w:ascii="Microsoft YaHei" w:hAnsi="Microsoft YaHei" w:eastAsia="Microsoft YaHei"/>
                <w:b/>
                <w:color w:val="1F4E79"/>
                <w:sz w:val="20"/>
              </w:rPr>
              <w:t>组员 A（Verilog）</w:t>
            </w:r>
          </w:p>
        </w:tc>
        <w:tc>
          <w:tcPr>
            <w:tcW w:type="dxa" w:w="7938"/>
            <w:vAlign w:val="top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提交文件：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board/efinix_ti60/rtl/net/asset_udp_tx.v；board/efinix_ti60/rtl/net/asset_net_cdc.v；tb/verilog/tb_asset_udp_tx.sv；tb/verilog/tb_asset_net_cdc.sv</w:t>
            </w:r>
          </w:p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文件/模块职责：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把 RISC-V 请求描述符编码为 GET 包并接入官方 UDP TX；asset_net_cdc 在 125 MHz 网络域与 100 MHz GPU 域之间传输请求、元数据和 payload，保持包边界。</w:t>
            </w:r>
          </w:p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输入：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request_valid/request_ready 与 32 字节头字段；官方 UDP TX RAM 请求；RX payload。</w:t>
            </w:r>
          </w:p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目标输出：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合法 GET UDP 载荷；GPU 域无丢字节的数据流；tx_done/timeout 事件。</w:t>
            </w:r>
          </w:p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依赖：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第 1-2 天 wrapper、asset_protocol.vh 和负责人寄存器合同。</w:t>
            </w:r>
          </w:p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当日验收：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随机双时钟比、复位先后、持续反压下收发各 100 包，字节和 last 精确一致。</w:t>
            </w:r>
          </w:p>
        </w:tc>
      </w:tr>
    </w:tbl>
    <w:p>
      <w:pPr>
        <w:pageBreakBefore w:val="0"/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cantSplit/>
        </w:trPr>
        <w:tc>
          <w:tcPr>
            <w:tcW w:type="dxa" w:w="1417"/>
            <w:vAlign w:val="center"/>
            <w:shd w:fill="D9EAF7"/>
          </w:tcPr>
          <w:p>
            <w:pPr>
              <w:spacing w:after="20"/>
              <w:jc w:val="center"/>
            </w:pPr>
            <w:r>
              <w:rPr>
                <w:rFonts w:ascii="Microsoft YaHei" w:hAnsi="Microsoft YaHei" w:eastAsia="Microsoft YaHei"/>
                <w:b/>
                <w:color w:val="1F4E79"/>
                <w:sz w:val="20"/>
              </w:rPr>
              <w:t>组员 B（C）</w:t>
            </w:r>
          </w:p>
        </w:tc>
        <w:tc>
          <w:tcPr>
            <w:tcW w:type="dxa" w:w="7938"/>
            <w:vAlign w:val="top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提交文件：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sw/efinix_gpu/include/asset_protocol.h；sw/efinix_gpu/tools/asset_server/asset_server.c；sw/efinix_gpu/tools/asset_server/Makefile；sw/efinix_gpu/tests/test_asset_server.c</w:t>
            </w:r>
          </w:p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文件/模块职责：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实现 Windows Winsock UDP 资源服务器：只读取 manifest 与 .pkg 文件，按 GET 返回 DATA/ERROR；不保存游戏状态、不主动推帧、不解释地图。</w:t>
            </w:r>
          </w:p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输入：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资源目录、manifest、客户端 IP/端口、GET 头。</w:t>
            </w:r>
          </w:p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目标输出：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最多 1024 字节 DATA 包，带 sequence 和 payload CRC32；越界返回 ERROR。</w:t>
            </w:r>
          </w:p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依赖：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第 1 天协议；标准 C11 + Winsock2。</w:t>
            </w:r>
          </w:p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当日验收：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临时资源文件覆盖首块、末块、重复 GET、越界和不存在 asset_id；响应载荷和 CRC 完全一致。</w:t>
            </w:r>
          </w:p>
        </w:tc>
      </w:tr>
    </w:tbl>
    <w:p>
      <w:pPr>
        <w:pageBreakBefore w:val="0"/>
        <w:spacing w:after="20"/>
      </w:pPr>
    </w:p>
    <w:p>
      <w:pPr>
        <w:pStyle w:val="Heading1"/>
        <w:pageBreakBefore w:val="0"/>
      </w:pPr>
      <w:r>
        <w:t>第 4 天：完成 DDR 资源写入、重试和缓存提交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cantSplit/>
        </w:trPr>
        <w:tc>
          <w:tcPr>
            <w:tcW w:type="dxa" w:w="1417"/>
            <w:vAlign w:val="center"/>
            <w:shd w:fill="D9EAF7"/>
          </w:tcPr>
          <w:p>
            <w:pPr>
              <w:spacing w:after="20"/>
              <w:jc w:val="center"/>
            </w:pPr>
            <w:r>
              <w:rPr>
                <w:rFonts w:ascii="Microsoft YaHei" w:hAnsi="Microsoft YaHei" w:eastAsia="Microsoft YaHei"/>
                <w:b/>
                <w:color w:val="1F4E79"/>
                <w:sz w:val="20"/>
              </w:rPr>
              <w:t>负责人（Chisel）</w:t>
            </w:r>
          </w:p>
        </w:tc>
        <w:tc>
          <w:tcPr>
            <w:tcW w:type="dxa" w:w="7938"/>
            <w:vAlign w:val="top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提交文件：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chisel/src/main/scala/gpu/AssetDmaWriter.scala；chisel/src/test/scala/gpu/AssetDmaWriterSpec.scala；chisel/src/main/scala/gpu/Efinix2dGpuTop.scala</w:t>
            </w:r>
          </w:p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文件/模块职责：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接收 A 的 payload 流，按描述符生成不跨 4 KB 的 AXI INCR 写 burst；只在完整包写成功后更新 committed_offset/sequence；错误或 ABORT 时停止且不越界。</w:t>
            </w:r>
          </w:p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输入：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AssetDmaRegs 描述符、meta/payload 流、DDR AXI 写响应。</w:t>
            </w:r>
          </w:p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目标输出：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AXI 写地址/数据/STRB；packet_done/error；已提交字节数。</w:t>
            </w:r>
          </w:p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依赖：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第 3 天寄存器；A 的 CDC 输出。</w:t>
            </w:r>
          </w:p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当日验收：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1/2/3/1023/1024 字节、非整字尾、4 KB 边界、BVALID 错误和随机反压测试通过。</w:t>
            </w:r>
          </w:p>
        </w:tc>
      </w:tr>
    </w:tbl>
    <w:p>
      <w:pPr>
        <w:pageBreakBefore w:val="0"/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cantSplit/>
        </w:trPr>
        <w:tc>
          <w:tcPr>
            <w:tcW w:type="dxa" w:w="1417"/>
            <w:vAlign w:val="center"/>
            <w:shd w:fill="D9EAF7"/>
          </w:tcPr>
          <w:p>
            <w:pPr>
              <w:spacing w:after="20"/>
              <w:jc w:val="center"/>
            </w:pPr>
            <w:r>
              <w:rPr>
                <w:rFonts w:ascii="Microsoft YaHei" w:hAnsi="Microsoft YaHei" w:eastAsia="Microsoft YaHei"/>
                <w:b/>
                <w:color w:val="1F4E79"/>
                <w:sz w:val="20"/>
              </w:rPr>
              <w:t>组员 A（Verilog）</w:t>
            </w:r>
          </w:p>
        </w:tc>
        <w:tc>
          <w:tcPr>
            <w:tcW w:type="dxa" w:w="7938"/>
            <w:vAlign w:val="top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提交文件：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board/efinix_ti60/rtl/net/asset_stream_guard.v；tb/verilog/tb_asset_stream_guard.sv；tb/verilog/tb_asset_net_path.sv</w:t>
            </w:r>
          </w:p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文件/模块职责：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在 RX FIFO 与 AssetDmaWriter 之间检查 payload 长度、last 位置、包内字节数和超时；协议异常时丢弃到包尾并输出单周期错误，不让残包污染下一包。</w:t>
            </w:r>
          </w:p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输入：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asset_udp_rx 元数据/载荷；DMA ready；GPU/网络时钟和复位。</w:t>
            </w:r>
          </w:p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目标输出：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经过保护的 meta/payload 流；length_error/timeout_error/drop_count。</w:t>
            </w:r>
          </w:p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依赖：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第 2-3 天网络模块；负责人 DMA ready/abort。</w:t>
            </w:r>
          </w:p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当日验收：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端到端仿真注入截断、超长、乱序、重复、随机反压和异步复位，后续合法包仍正确。</w:t>
            </w:r>
          </w:p>
        </w:tc>
      </w:tr>
    </w:tbl>
    <w:p>
      <w:pPr>
        <w:pageBreakBefore w:val="0"/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cantSplit/>
        </w:trPr>
        <w:tc>
          <w:tcPr>
            <w:tcW w:type="dxa" w:w="1417"/>
            <w:vAlign w:val="center"/>
            <w:shd w:fill="D9EAF7"/>
          </w:tcPr>
          <w:p>
            <w:pPr>
              <w:spacing w:after="20"/>
              <w:jc w:val="center"/>
            </w:pPr>
            <w:r>
              <w:rPr>
                <w:rFonts w:ascii="Microsoft YaHei" w:hAnsi="Microsoft YaHei" w:eastAsia="Microsoft YaHei"/>
                <w:b/>
                <w:color w:val="1F4E79"/>
                <w:sz w:val="20"/>
              </w:rPr>
              <w:t>组员 B（C）</w:t>
            </w:r>
          </w:p>
        </w:tc>
        <w:tc>
          <w:tcPr>
            <w:tcW w:type="dxa" w:w="7938"/>
            <w:vAlign w:val="top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提交文件：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sw/efinix_gpu/src/net_asset_client.c；sw/efinix_gpu/include/net_asset_client.h；sw/efinix_gpu/src/asset_cache.c；sw/efinix_gpu/include/asset_cache.h；sw/efinix_gpu/tests/test_asset_client.c</w:t>
            </w:r>
          </w:p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文件/模块职责：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Sapphire 主动发 GET、20 ms 超时、最多重试 5 次；每块 CRC 正确后推进 offset，完整资源 CRC 正确后提交缓存。缓存表保存 asset_id、DDR 地址、长度、CRC、引用计数和最近使用帧。</w:t>
            </w:r>
          </w:p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输入：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manifest 条目、目标 DDR 地址、Asset DMA 状态和 100 MHz CLINT。</w:t>
            </w:r>
          </w:p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目标输出：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asset_load()、asset_acquire()、asset_release()；可用/失败/重试统计。</w:t>
            </w:r>
          </w:p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依赖：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第 3 天 asset_protocol.h 和负责人 APB 寄存器。</w:t>
            </w:r>
          </w:p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当日验收：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假设备覆盖成功、丢包、重复包、坏 CRC、五次超时和断网；失败时原缓存条目保持有效。</w:t>
            </w:r>
          </w:p>
        </w:tc>
      </w:tr>
    </w:tbl>
    <w:p>
      <w:pPr>
        <w:pageBreakBefore w:val="0"/>
        <w:spacing w:after="20"/>
      </w:pPr>
    </w:p>
    <w:p>
      <w:pPr>
        <w:pStyle w:val="Heading1"/>
        <w:pageBreakBefore w:val="0"/>
      </w:pPr>
      <w:r>
        <w:t>第 5 天：全屏显示与开源植物防线逻辑移植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cantSplit/>
        </w:trPr>
        <w:tc>
          <w:tcPr>
            <w:tcW w:type="dxa" w:w="1417"/>
            <w:vAlign w:val="center"/>
            <w:shd w:fill="D9EAF7"/>
          </w:tcPr>
          <w:p>
            <w:pPr>
              <w:spacing w:after="20"/>
              <w:jc w:val="center"/>
            </w:pPr>
            <w:r>
              <w:rPr>
                <w:rFonts w:ascii="Microsoft YaHei" w:hAnsi="Microsoft YaHei" w:eastAsia="Microsoft YaHei"/>
                <w:b/>
                <w:color w:val="1F4E79"/>
                <w:sz w:val="20"/>
              </w:rPr>
              <w:t>负责人（Chisel）</w:t>
            </w:r>
          </w:p>
        </w:tc>
        <w:tc>
          <w:tcPr>
            <w:tcW w:type="dxa" w:w="7938"/>
            <w:vAlign w:val="top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提交文件：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chisel/src/main/scala/gpu/GpuMemoryMap.scala；chisel/src/main/scala/gpu/ScanoutDma.scala；chisel/src/main/scala/gpu/DdrQosArbiter.scala；对应三个 Spec</w:t>
            </w:r>
          </w:p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文件/模块职责：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把帧参数改为 960×540、stride=1920；Scanout 每行 960 像素；DDR 仲裁扩展为 Render/Scanout/Asset 三个客户端，Scanout 低水位最高优先，Asset 保证有限等待但不得造成显示下溢。</w:t>
            </w:r>
          </w:p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输入：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帧地址、FIFO 水位、三路 AXI 请求、Asset DMA 活跃状态。</w:t>
            </w:r>
          </w:p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目标输出：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960×540 scanout 流；三路 AXI；每路 grant/stall 和 underflow 计数。</w:t>
            </w:r>
          </w:p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依赖：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第 4 天 AssetDmaWriter；A 的 FIFO 水位阈值。</w:t>
            </w:r>
          </w:p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当日验收：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整帧 518400 像素、行尾/帧尾、三路饥饿上界、Asset 压力下 Scanout 无下溢的仿真通过。</w:t>
            </w:r>
          </w:p>
        </w:tc>
      </w:tr>
    </w:tbl>
    <w:p>
      <w:pPr>
        <w:pageBreakBefore w:val="0"/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cantSplit/>
        </w:trPr>
        <w:tc>
          <w:tcPr>
            <w:tcW w:type="dxa" w:w="1417"/>
            <w:vAlign w:val="center"/>
            <w:shd w:fill="D9EAF7"/>
          </w:tcPr>
          <w:p>
            <w:pPr>
              <w:spacing w:after="20"/>
              <w:jc w:val="center"/>
            </w:pPr>
            <w:r>
              <w:rPr>
                <w:rFonts w:ascii="Microsoft YaHei" w:hAnsi="Microsoft YaHei" w:eastAsia="Microsoft YaHei"/>
                <w:b/>
                <w:color w:val="1F4E79"/>
                <w:sz w:val="20"/>
              </w:rPr>
              <w:t>组员 A（Verilog）</w:t>
            </w:r>
          </w:p>
        </w:tc>
        <w:tc>
          <w:tcPr>
            <w:tcW w:type="dxa" w:w="7938"/>
            <w:vAlign w:val="top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提交文件：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board/efinix_ti60/rtl/display/display_scale2x_1080p.v；board/efinix_ti60/rtl/display/display_line_buffer.v；board/efinix_ti60/rtl/display/hdmi_subsystem.v；tb/verilog/tb_hdmi_subsystem.sv</w:t>
            </w:r>
          </w:p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文件/模块职责：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把显示路径从 640×480 居中改为 960×540 每像素 2×2 输出，覆盖全部 1920×1080 有效区；行缓存扩至 960；保持 RGB565-&gt;RGB888、vblank CDC 和 underflow pulse。</w:t>
            </w:r>
          </w:p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输入：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960 像素行流、line_last/frame_last、1080p 时序。</w:t>
            </w:r>
          </w:p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目标输出：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无黑边的 1920×1080 RGB888；准确 vblank 和下溢脉冲。</w:t>
            </w:r>
          </w:p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依赖：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负责人 Scanout 参数；官方 HDMI encoder/serializer。</w:t>
            </w:r>
          </w:p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当日验收：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完整 2200×1125 时序仿真逐像素比较两帧；四角与最后一像素正确，无裁剪、错行和多读。</w:t>
            </w:r>
          </w:p>
        </w:tc>
      </w:tr>
    </w:tbl>
    <w:p>
      <w:pPr>
        <w:pageBreakBefore w:val="0"/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cantSplit/>
        </w:trPr>
        <w:tc>
          <w:tcPr>
            <w:tcW w:type="dxa" w:w="1417"/>
            <w:vAlign w:val="center"/>
            <w:shd w:fill="D9EAF7"/>
          </w:tcPr>
          <w:p>
            <w:pPr>
              <w:spacing w:after="20"/>
              <w:jc w:val="center"/>
            </w:pPr>
            <w:r>
              <w:rPr>
                <w:rFonts w:ascii="Microsoft YaHei" w:hAnsi="Microsoft YaHei" w:eastAsia="Microsoft YaHei"/>
                <w:b/>
                <w:color w:val="1F4E79"/>
                <w:sz w:val="20"/>
              </w:rPr>
              <w:t>组员 B（C）</w:t>
            </w:r>
          </w:p>
        </w:tc>
        <w:tc>
          <w:tcPr>
            <w:tcW w:type="dxa" w:w="7938"/>
            <w:vAlign w:val="top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提交文件：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sw/efinix_gpu/include/lane_game.h；sw/efinix_gpu/src/lane_game.c；sw/efinix_gpu/tests/test_lane_game.c；sw/efinix_gpu/THIRD_PARTY_NOTICES.md；sw/efinix_gpu/third_party/ZombieGardenTD.LICENSE</w:t>
            </w:r>
          </w:p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文件/模块职责：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从 ZombieGardenTD 的 MIT C 代码移植网格、植物、敌人、弹丸、波次和资源经济；移除 Raylib/音频/桌面 I/O，使用固定时间步和定点/整数状态；不自行重写已有规则。</w:t>
            </w:r>
          </w:p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输入：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按键命令、固定 16 ms tick、资源配置、种子。</w:t>
            </w:r>
          </w:p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目标输出：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只读 lane_game_snapshot；确定性的胜负、种植、攻击、受伤、掉落和波次状态。</w:t>
            </w:r>
          </w:p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依赖：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完成许可证审查并保存 MIT 文本；不使用原版商业素材。</w:t>
            </w:r>
          </w:p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当日验收：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相同输入/种子产生相同状态 CRC；覆盖占格、资源不足、命中单个敌人、胜负和暂停。</w:t>
            </w:r>
          </w:p>
        </w:tc>
      </w:tr>
    </w:tbl>
    <w:p>
      <w:pPr>
        <w:pageBreakBefore w:val="0"/>
        <w:spacing w:after="20"/>
      </w:pPr>
    </w:p>
    <w:p>
      <w:pPr>
        <w:pStyle w:val="Heading1"/>
        <w:pageBreakBefore w:val="0"/>
      </w:pPr>
      <w:r>
        <w:t>第 6 天：生成植物防线画面并完成板级网络/显示集成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cantSplit/>
        </w:trPr>
        <w:tc>
          <w:tcPr>
            <w:tcW w:type="dxa" w:w="1417"/>
            <w:vAlign w:val="center"/>
            <w:shd w:fill="D9EAF7"/>
          </w:tcPr>
          <w:p>
            <w:pPr>
              <w:spacing w:after="20"/>
              <w:jc w:val="center"/>
            </w:pPr>
            <w:r>
              <w:rPr>
                <w:rFonts w:ascii="Microsoft YaHei" w:hAnsi="Microsoft YaHei" w:eastAsia="Microsoft YaHei"/>
                <w:b/>
                <w:color w:val="1F4E79"/>
                <w:sz w:val="20"/>
              </w:rPr>
              <w:t>负责人（Chisel）</w:t>
            </w:r>
          </w:p>
        </w:tc>
        <w:tc>
          <w:tcPr>
            <w:tcW w:type="dxa" w:w="7938"/>
            <w:vAlign w:val="top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提交文件：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chisel/src/main/scala/gpu/Efinix2dGpuTop.scala；chisel/src/test/scala/gpu/Efinix2dGpuTopSpec.scala；generated/efinix_gpu/**；generated/efinix_gpu/filelist.f</w:t>
            </w:r>
          </w:p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文件/模块职责：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接入 AssetDmaRegs/Writer、三路 QoS、960×540 Scanout 和网络状态；统一生成拆分 RTL，保持每个生成 .sv 一个 module。</w:t>
            </w:r>
          </w:p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输入：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APB、DDR AXI、A 的网络流与显示 FIFO、B 的寄存器合同。</w:t>
            </w:r>
          </w:p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目标输出：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可综合顶层；GPU、Scanout、Asset 同时工作的端到端仿真。</w:t>
            </w:r>
          </w:p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依赖：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第 3-5 天全部模块。</w:t>
            </w:r>
          </w:p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当日验收：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GPU 现有回归、Asset 传输、三路 QoS 和完整帧测试单轮全部通过；生成物与 Chisel 同步。</w:t>
            </w:r>
          </w:p>
        </w:tc>
      </w:tr>
    </w:tbl>
    <w:p>
      <w:pPr>
        <w:pageBreakBefore w:val="0"/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cantSplit/>
        </w:trPr>
        <w:tc>
          <w:tcPr>
            <w:tcW w:type="dxa" w:w="1417"/>
            <w:vAlign w:val="center"/>
            <w:shd w:fill="D9EAF7"/>
          </w:tcPr>
          <w:p>
            <w:pPr>
              <w:spacing w:after="20"/>
              <w:jc w:val="center"/>
            </w:pPr>
            <w:r>
              <w:rPr>
                <w:rFonts w:ascii="Microsoft YaHei" w:hAnsi="Microsoft YaHei" w:eastAsia="Microsoft YaHei"/>
                <w:b/>
                <w:color w:val="1F4E79"/>
                <w:sz w:val="20"/>
              </w:rPr>
              <w:t>组员 A（Verilog）</w:t>
            </w:r>
          </w:p>
        </w:tc>
        <w:tc>
          <w:tcPr>
            <w:tcW w:type="dxa" w:w="7938"/>
            <w:vAlign w:val="top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提交文件：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board/efinix_ti60/rtl/board_top.v；board/efinix_ti60/rtl/efinix_sapphire_adapter.v；board/efinix_ti60/efinix_2d_gpu.xml；board/efinix_ti60/efinix_2d_gpu.peri.xml；board/efinix_ti60/efinix_2d_gpu.sdc；tb/verilog/tb_board_net_display.sv</w:t>
            </w:r>
          </w:p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文件/模块职责：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把 RGMII/MDIO、网络 wrapper、CDC、GPU Asset 流和 960×540 HDMI 一次性接入正式顶层；补齐 125 MHz/100 MHz/148.5 MHz/742.5 MHz 时钟与 CDC 约束，不修改 vendor。</w:t>
            </w:r>
          </w:p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输入：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负责人生成 RTL、官方 GE/DDR/HDMI IP、板卡引脚。</w:t>
            </w:r>
          </w:p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目标输出：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Efinity 可执行 map/interface/pnr/pgm 的唯一工程；网络与显示联合仿真。</w:t>
            </w:r>
          </w:p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依赖：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第 1-5 天 A 模块和负责人顶层。</w:t>
            </w:r>
          </w:p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当日验收：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一包资源写 DDR 后同帧 Sprite 可见；网流压力下 HDMI 像素连续；结构检查确认每个 .v 单 module。</w:t>
            </w:r>
          </w:p>
        </w:tc>
      </w:tr>
    </w:tbl>
    <w:p>
      <w:pPr>
        <w:pageBreakBefore w:val="0"/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cantSplit/>
        </w:trPr>
        <w:tc>
          <w:tcPr>
            <w:tcW w:type="dxa" w:w="1417"/>
            <w:vAlign w:val="center"/>
            <w:shd w:fill="D9EAF7"/>
          </w:tcPr>
          <w:p>
            <w:pPr>
              <w:spacing w:after="20"/>
              <w:jc w:val="center"/>
            </w:pPr>
            <w:r>
              <w:rPr>
                <w:rFonts w:ascii="Microsoft YaHei" w:hAnsi="Microsoft YaHei" w:eastAsia="Microsoft YaHei"/>
                <w:b/>
                <w:color w:val="1F4E79"/>
                <w:sz w:val="20"/>
              </w:rPr>
              <w:t>组员 B（C）</w:t>
            </w:r>
          </w:p>
        </w:tc>
        <w:tc>
          <w:tcPr>
            <w:tcW w:type="dxa" w:w="7938"/>
            <w:vAlign w:val="top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提交文件：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sw/efinix_gpu/include/lane_scene.h；sw/efinix_gpu/src/lane_scene.c；sw/efinix_gpu/tools/asset_server/asset_pack.c；sw/efinix_gpu/assets_v2/manifest.csv；sw/efinix_gpu/assets_v2/LICENSES/**；sw/efinix_gpu/src/main.c；sw/efinix_gpu/tests/test_lane_scene.c</w:t>
            </w:r>
          </w:p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文件/模块职责：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把 lane_game_snapshot 转换为背景 tile、植物、敌人、弹丸、HUD 的 AetherGX 命令；优先复用下载后的 CC0/许可明确素材，离线打包为 RGB565/Sparse .pkg；启动时经网络加载，运行时不依赖 PC 逐帧参与。</w:t>
            </w:r>
          </w:p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输入：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只读游戏快照、资源缓存句柄、960×540 framebuffer。</w:t>
            </w:r>
          </w:p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目标输出：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全屏 5×9 草地、资源栏、植物动画、敌人波次、弹丸和性能 HUD；资源包/manifest/许可证。</w:t>
            </w:r>
          </w:p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依赖：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第 4 天缓存、第 5 天 game、A 全屏显示。</w:t>
            </w:r>
          </w:p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当日验收：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黄金 CRC 和命令哈希固定；缺失资源显示占位图但游戏不崩溃；命令数不超过队列提交策略上限。</w:t>
            </w:r>
          </w:p>
        </w:tc>
      </w:tr>
    </w:tbl>
    <w:p>
      <w:pPr>
        <w:pageBreakBefore w:val="0"/>
        <w:spacing w:after="20"/>
      </w:pPr>
    </w:p>
    <w:p>
      <w:pPr>
        <w:pStyle w:val="Heading1"/>
        <w:pageBreakBefore w:val="0"/>
      </w:pPr>
      <w:r>
        <w:t>第 7 天：统一上板、性能封版与 V2 交付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cantSplit/>
        </w:trPr>
        <w:tc>
          <w:tcPr>
            <w:tcW w:type="dxa" w:w="1417"/>
            <w:vAlign w:val="center"/>
            <w:shd w:fill="D9EAF7"/>
          </w:tcPr>
          <w:p>
            <w:pPr>
              <w:spacing w:after="20"/>
              <w:jc w:val="center"/>
            </w:pPr>
            <w:r>
              <w:rPr>
                <w:rFonts w:ascii="Microsoft YaHei" w:hAnsi="Microsoft YaHei" w:eastAsia="Microsoft YaHei"/>
                <w:b/>
                <w:color w:val="1F4E79"/>
                <w:sz w:val="20"/>
              </w:rPr>
              <w:t>负责人（Chisel）</w:t>
            </w:r>
          </w:p>
        </w:tc>
        <w:tc>
          <w:tcPr>
            <w:tcW w:type="dxa" w:w="7938"/>
            <w:vAlign w:val="top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提交文件：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generated/efinix_gpu/**；docs/efinix_2d_gpu/v2_final_acceptance.md；release/manifest.sha256</w:t>
            </w:r>
          </w:p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文件/模块职责：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审核三路 DDR 性能和所有计数，依据实测只调 FIFO 水位和仲裁阈值；冻结生成 RTL 与寄存器版本，不再增加功能。</w:t>
            </w:r>
          </w:p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输入：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A 的 Efinity 报告与板测计数；B 的 CSV/CRC/稳定上限。</w:t>
            </w:r>
          </w:p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目标输出：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最终寄存器快照、性能解释、全部发布文件 SHA256。</w:t>
            </w:r>
          </w:p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依赖：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A/B 使用同一候选位流和固件。</w:t>
            </w:r>
          </w:p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当日验收：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Render/Scanout/Asset 无协议错误；无未解释计数；生成物、源码、固件和位流哈希齐全。</w:t>
            </w:r>
          </w:p>
        </w:tc>
      </w:tr>
    </w:tbl>
    <w:p>
      <w:pPr>
        <w:pageBreakBefore w:val="0"/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cantSplit/>
        </w:trPr>
        <w:tc>
          <w:tcPr>
            <w:tcW w:type="dxa" w:w="1417"/>
            <w:vAlign w:val="center"/>
            <w:shd w:fill="D9EAF7"/>
          </w:tcPr>
          <w:p>
            <w:pPr>
              <w:spacing w:after="20"/>
              <w:jc w:val="center"/>
            </w:pPr>
            <w:r>
              <w:rPr>
                <w:rFonts w:ascii="Microsoft YaHei" w:hAnsi="Microsoft YaHei" w:eastAsia="Microsoft YaHei"/>
                <w:b/>
                <w:color w:val="1F4E79"/>
                <w:sz w:val="20"/>
              </w:rPr>
              <w:t>组员 A（Verilog）</w:t>
            </w:r>
          </w:p>
        </w:tc>
        <w:tc>
          <w:tcPr>
            <w:tcW w:type="dxa" w:w="7938"/>
            <w:vAlign w:val="top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提交文件：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board/efinix_ti60/output/efinix_2d_gpu.bit；board/efinix_ti60/output/efinix_2d_gpu.hex；board/efinix_ti60/output/timing.rpt；board/efinix_ti60/output/cdc.rpt；board/efinix_ti60/output/board_test.log</w:t>
            </w:r>
          </w:p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文件/模块职责：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执行 Efinity 全流程、时序/CDC 签核和上板联合验收；验证千兆链路、资源接收、DDR、1080p 全屏、按键、断网继续和 30 分钟耐久。</w:t>
            </w:r>
          </w:p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输入：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第 6 天正式工程、B 的最终固件和 PC server。</w:t>
            </w:r>
          </w:p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目标输出：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同一候选版本的 bit/hex/报告/板测日志；不保存旧位流冒充结果。</w:t>
            </w:r>
          </w:p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依赖：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负责人生成 RTL；B 提供 release ELF 和资源包。</w:t>
            </w:r>
          </w:p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当日验收：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所有约束时钟正裕量；960×540 全屏无黑边/撕裂；30 分钟 underflow=0、error=0；断网后当前场景继续。</w:t>
            </w:r>
          </w:p>
        </w:tc>
      </w:tr>
    </w:tbl>
    <w:p>
      <w:pPr>
        <w:pageBreakBefore w:val="0"/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cantSplit/>
        </w:trPr>
        <w:tc>
          <w:tcPr>
            <w:tcW w:type="dxa" w:w="1417"/>
            <w:vAlign w:val="center"/>
            <w:shd w:fill="D9EAF7"/>
          </w:tcPr>
          <w:p>
            <w:pPr>
              <w:spacing w:after="20"/>
              <w:jc w:val="center"/>
            </w:pPr>
            <w:r>
              <w:rPr>
                <w:rFonts w:ascii="Microsoft YaHei" w:hAnsi="Microsoft YaHei" w:eastAsia="Microsoft YaHei"/>
                <w:b/>
                <w:color w:val="1F4E79"/>
                <w:sz w:val="20"/>
              </w:rPr>
              <w:t>组员 B（C）</w:t>
            </w:r>
          </w:p>
        </w:tc>
        <w:tc>
          <w:tcPr>
            <w:tcW w:type="dxa" w:w="7938"/>
            <w:vAlign w:val="top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提交文件：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release/gpu_demo.elf；release/gpu_demo.bin；release/gpu_demo.hex；release/benchmark.csv；release/asset_server.exe；release/assets_v2/**；release/THIRD_PARTY_NOTICES.md；docs/efinix_2d_gpu/v2_demo_script.md</w:t>
            </w:r>
          </w:p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文件/模块职责：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生成最终固件、服务器、资源包和演示脚本；记录 CPU/GPU FPS/加速比、各 Sprite 档位 300 帧 p5 FPS、上限、网络吞吐/重试、CRC、underflow 和错误。</w:t>
            </w:r>
          </w:p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输入：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最终硬件、固定随机种子、同一资源包。</w:t>
            </w:r>
          </w:p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目标输出：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可重复演示：开服加载、进入草地、种植/攻击、压力测试、断网继续、重新联网换场景。</w:t>
            </w:r>
          </w:p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依赖：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A 的候选位流；负责人寄存器版本。</w:t>
            </w:r>
          </w:p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F4E79"/>
                <w:sz w:val="17"/>
              </w:rPr>
              <w:t>当日验收：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CPU/GPU CRC 相同；明确给出稳定 60 FPS 最大 Sprite 数；PC 进程 CPU 只做文件读取/UDP，不含帧循环或游戏状态。</w:t>
            </w:r>
          </w:p>
        </w:tc>
      </w:tr>
    </w:tbl>
    <w:p>
      <w:pPr>
        <w:pageBreakBefore w:val="0"/>
        <w:spacing w:after="20"/>
      </w:pPr>
    </w:p>
    <w:p>
      <w:pPr>
        <w:pStyle w:val="Heading1"/>
        <w:pageBreakBefore w:val="0"/>
      </w:pPr>
      <w:r>
        <w:t>七、最终验收清单</w:t>
      </w:r>
    </w:p>
    <w:p>
      <w:pPr>
        <w:pStyle w:val="ListBullet"/>
        <w:pageBreakBefore w:val="0"/>
        <w:spacing w:after="40"/>
      </w:pPr>
      <w:r>
        <w:rPr>
          <w:rFonts w:ascii="Microsoft YaHei" w:hAnsi="Microsoft YaHei" w:eastAsia="Microsoft YaHei"/>
          <w:b w:val="0"/>
          <w:sz w:val="20"/>
        </w:rPr>
        <w:t>□ 任务书基础缺口：屏幕和 UART 同时给出 CPU FPS、GPU FPS、加速比、CRC 一致性。</w:t>
      </w:r>
    </w:p>
    <w:p>
      <w:pPr>
        <w:pStyle w:val="ListBullet"/>
        <w:pageBreakBefore w:val="0"/>
        <w:spacing w:after="40"/>
      </w:pPr>
      <w:r>
        <w:rPr>
          <w:rFonts w:ascii="Microsoft YaHei" w:hAnsi="Microsoft YaHei" w:eastAsia="Microsoft YaHei"/>
          <w:b w:val="0"/>
          <w:sz w:val="20"/>
        </w:rPr>
        <w:t>□ 高阶挑战缺口：固定种子、每档 300 帧，给出 p5 FPS≥60 且无下溢/错误的最大 Sprite 档位。</w:t>
      </w:r>
    </w:p>
    <w:p>
      <w:pPr>
        <w:pStyle w:val="ListBullet"/>
        <w:pageBreakBefore w:val="0"/>
        <w:spacing w:after="40"/>
      </w:pPr>
      <w:r>
        <w:rPr>
          <w:rFonts w:ascii="Microsoft YaHei" w:hAnsi="Microsoft YaHei" w:eastAsia="Microsoft YaHei"/>
          <w:b w:val="0"/>
          <w:sz w:val="20"/>
        </w:rPr>
        <w:t>□ 网络边界：PC 只响应资源请求；关闭 PC 或拔网线后，DDR 中当前场景继续运行。</w:t>
      </w:r>
    </w:p>
    <w:p>
      <w:pPr>
        <w:pStyle w:val="ListBullet"/>
        <w:pageBreakBefore w:val="0"/>
        <w:spacing w:after="40"/>
      </w:pPr>
      <w:r>
        <w:rPr>
          <w:rFonts w:ascii="Microsoft YaHei" w:hAnsi="Microsoft YaHei" w:eastAsia="Microsoft YaHei"/>
          <w:b w:val="0"/>
          <w:sz w:val="20"/>
        </w:rPr>
        <w:t>□ 资源正确性：所有包 CRC、完整资源 CRC、重复/乱序/丢包重试均有自动测试和计数。</w:t>
      </w:r>
    </w:p>
    <w:p>
      <w:pPr>
        <w:pStyle w:val="ListBullet"/>
        <w:pageBreakBefore w:val="0"/>
        <w:spacing w:after="40"/>
      </w:pPr>
      <w:r>
        <w:rPr>
          <w:rFonts w:ascii="Microsoft YaHei" w:hAnsi="Microsoft YaHei" w:eastAsia="Microsoft YaHei"/>
          <w:b w:val="0"/>
          <w:sz w:val="20"/>
        </w:rPr>
        <w:t>□ RISC-V 核心作用：由 Sapphire 完成请求调度、缓存、输入、植物/敌人/弹丸/碰撞/波次/动画和 GPU Command。</w:t>
      </w:r>
    </w:p>
    <w:p>
      <w:pPr>
        <w:pStyle w:val="ListBullet"/>
        <w:pageBreakBefore w:val="0"/>
        <w:spacing w:after="40"/>
      </w:pPr>
      <w:r>
        <w:rPr>
          <w:rFonts w:ascii="Microsoft YaHei" w:hAnsi="Microsoft YaHei" w:eastAsia="Microsoft YaHei"/>
          <w:b w:val="0"/>
          <w:sz w:val="20"/>
        </w:rPr>
        <w:t>□ FPGA 核心作用：RGMII/UDP 数据通路、Asset DMA、三路 DDR QoS、AetherGX 和 HDMI 全部在 Ti60F225 内完成。</w:t>
      </w:r>
    </w:p>
    <w:p>
      <w:pPr>
        <w:pStyle w:val="ListBullet"/>
        <w:pageBreakBefore w:val="0"/>
        <w:spacing w:after="40"/>
      </w:pPr>
      <w:r>
        <w:rPr>
          <w:rFonts w:ascii="Microsoft YaHei" w:hAnsi="Microsoft YaHei" w:eastAsia="Microsoft YaHei"/>
          <w:b w:val="0"/>
          <w:sz w:val="20"/>
        </w:rPr>
        <w:t>□ 画面：内部 960×540，经 2×整数放大铺满 1920×1080；5×9 草地、顶部资源栏、植物/敌人动画和 HUD 可见。</w:t>
      </w:r>
    </w:p>
    <w:p>
      <w:pPr>
        <w:pStyle w:val="ListBullet"/>
        <w:pageBreakBefore w:val="0"/>
        <w:spacing w:after="40"/>
      </w:pPr>
      <w:r>
        <w:rPr>
          <w:rFonts w:ascii="Microsoft YaHei" w:hAnsi="Microsoft YaHei" w:eastAsia="Microsoft YaHei"/>
          <w:b w:val="0"/>
          <w:sz w:val="20"/>
        </w:rPr>
        <w:t>□ 许可：无 PopCap/EA 原版素材；所有第三方代码/素材具有许可证副本与来源记录。</w:t>
      </w:r>
    </w:p>
    <w:p>
      <w:pPr>
        <w:pStyle w:val="ListBullet"/>
        <w:pageBreakBefore w:val="0"/>
        <w:spacing w:after="40"/>
      </w:pPr>
      <w:r>
        <w:rPr>
          <w:rFonts w:ascii="Microsoft YaHei" w:hAnsi="Microsoft YaHei" w:eastAsia="Microsoft YaHei"/>
          <w:b w:val="0"/>
          <w:sz w:val="20"/>
        </w:rPr>
        <w:t>□ 可靠性：同一位流/固件连续运行 30 分钟，underflow=0、hardware_error=0、网络错误可恢复。</w:t>
      </w:r>
    </w:p>
    <w:p>
      <w:pPr>
        <w:pStyle w:val="Heading1"/>
        <w:pageBreakBefore w:val="0"/>
      </w:pPr>
      <w:r>
        <w:t>八、禁止事项</w:t>
      </w:r>
    </w:p>
    <w:p>
      <w:pPr>
        <w:pStyle w:val="ListBullet"/>
        <w:pageBreakBefore w:val="0"/>
        <w:spacing w:after="40"/>
      </w:pPr>
      <w:r>
        <w:rPr>
          <w:rFonts w:ascii="Microsoft YaHei" w:hAnsi="Microsoft YaHei" w:eastAsia="Microsoft YaHei"/>
          <w:b w:val="0"/>
          <w:sz w:val="20"/>
        </w:rPr>
        <w:t>禁止把 PC 变成视频流发生器、逐帧模拟器或 GPU 命令生成器。</w:t>
      </w:r>
    </w:p>
    <w:p>
      <w:pPr>
        <w:pStyle w:val="ListBullet"/>
        <w:pageBreakBefore w:val="0"/>
        <w:spacing w:after="40"/>
      </w:pPr>
      <w:r>
        <w:rPr>
          <w:rFonts w:ascii="Microsoft YaHei" w:hAnsi="Microsoft YaHei" w:eastAsia="Microsoft YaHei"/>
          <w:b w:val="0"/>
          <w:sz w:val="20"/>
        </w:rPr>
        <w:t>禁止重写 Sapphire CPU、DDR3 控制器、HDMI 编码器、完整 TCP/IP 栈或已经存在的游戏规则。</w:t>
      </w:r>
    </w:p>
    <w:p>
      <w:pPr>
        <w:pStyle w:val="ListBullet"/>
        <w:pageBreakBefore w:val="0"/>
        <w:spacing w:after="40"/>
      </w:pPr>
      <w:r>
        <w:rPr>
          <w:rFonts w:ascii="Microsoft YaHei" w:hAnsi="Microsoft YaHei" w:eastAsia="Microsoft YaHei"/>
          <w:b w:val="0"/>
          <w:sz w:val="20"/>
        </w:rPr>
        <w:t>禁止直接复制商业《植物大战僵尸》的图片、字体、音乐、Logo 和名称。</w:t>
      </w:r>
    </w:p>
    <w:p>
      <w:pPr>
        <w:pStyle w:val="ListBullet"/>
        <w:pageBreakBefore w:val="0"/>
        <w:spacing w:after="40"/>
      </w:pPr>
      <w:r>
        <w:rPr>
          <w:rFonts w:ascii="Microsoft YaHei" w:hAnsi="Microsoft YaHei" w:eastAsia="Microsoft YaHei"/>
          <w:b w:val="0"/>
          <w:sz w:val="20"/>
        </w:rPr>
        <w:t>禁止用单次平均 FPS 代替 p5 FPS、用仿真数字代替板上结果、用旧位流结果代替最终候选版本。</w:t>
      </w:r>
    </w:p>
    <w:p>
      <w:pPr>
        <w:pStyle w:val="ListBullet"/>
        <w:pageBreakBefore w:val="0"/>
        <w:spacing w:after="40"/>
      </w:pPr>
      <w:r>
        <w:rPr>
          <w:rFonts w:ascii="Microsoft YaHei" w:hAnsi="Microsoft YaHei" w:eastAsia="Microsoft YaHei"/>
          <w:b w:val="0"/>
          <w:sz w:val="20"/>
        </w:rPr>
        <w:t>禁止提交来源不明资源、临时构建目录、IDE 缓存或未登记的 vendor 文件。</w:t>
      </w:r>
    </w:p>
    <w:sectPr w:rsidR="00FC693F" w:rsidRPr="0006063C" w:rsidSect="00034616">
      <w:pgSz w:w="12240" w:h="15840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0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F549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44444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