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</w:rPr>
        <w:t>Efinix 2D 图像渲染三人三天收尾开发计划书</w:t>
      </w:r>
    </w:p>
    <w:p>
      <w:pPr>
        <w:jc w:val="center"/>
      </w:pPr>
      <w:r>
        <w:rPr>
          <w:rFonts w:ascii="Microsoft YaHei" w:hAnsi="Microsoft YaHei" w:eastAsia="Microsoft YaHei"/>
          <w:b/>
          <w:sz w:val="26"/>
        </w:rPr>
        <w:t>官方 Demo 复用版</w:t>
      </w:r>
    </w:p>
    <w:p/>
    <w:p>
      <w:r>
        <w:rPr>
          <w:rFonts w:ascii="Microsoft YaHei" w:hAnsi="Microsoft YaHei" w:eastAsia="Microsoft YaHei"/>
          <w:b/>
        </w:rPr>
        <w:t>结论：</w:t>
      </w:r>
      <w:r>
        <w:rPr>
          <w:rFonts w:ascii="Microsoft YaHei" w:hAnsi="Microsoft YaHei" w:eastAsia="Microsoft YaHei"/>
        </w:rPr>
        <w:t>从当前主负责人完成第 18 天、组员 A 完成第 19 天、组员 B 完成第 20 天的版本继续，把原计划剩余工作重排为三个自然日。压缩的是等待和重复构建，不删除任何最终功能或验收项。</w:t>
      </w:r>
    </w:p>
    <w:p>
      <w:r>
        <w:rPr>
          <w:rFonts w:ascii="Microsoft YaHei" w:hAnsi="Microsoft YaHei" w:eastAsia="Microsoft YaHei"/>
        </w:rPr>
        <w:t>本文件替代原二十五天计划书并继续使用原文件名和路径，作为唯一正式计划。项目继续复用官方 Sapphire RISC V CPU、DDR3 控制器、HDMI 工程及 BSP；不恢复已弃用的自研 CPU。</w:t>
      </w:r>
    </w:p>
    <w:p>
      <w:pPr>
        <w:pStyle w:val="Heading1"/>
      </w:pPr>
      <w:r>
        <w:rPr>
          <w:rFonts w:ascii="Microsoft YaHei" w:hAnsi="Microsoft YaHei" w:eastAsia="Microsoft YaHei"/>
        </w:rPr>
        <w:t>一 当前基线与不可变约束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主负责人已完成基础 GPU、16 项带 tag 命令队列、Fill、Copy、Color Key、Alpha、PRESENT、性能计数器基础项以及官方 Demo 板级接入。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组员 A 已完成像素流水、HDMI 2 倍缩放、异步 FIFO、水位输出、下溢黑底保护和下溢计数；组员 B 已完成驱动、黄金模型、批量提交、HUD、游戏压力场景和第 20 天基准框架。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板卡当前可用，官方 Sapphire CPU、DDR3、8 个用户 LED 和 HDMI 已完成基础实机验证。后续优先仿真，所有离线检查通过后再生成最终位流。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任何新建或修改的队伍自写 .v 文件必须且只能包含一个 module；Chisel 使用 split verilog，使每个生成 .sv 文件只包含一个 module。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DDR 映射保持不变：帧缓冲 A 0x02000000、帧缓冲 B 0x02200000、Dense 素材 0x02400000、Sparse 素材 0x06000000；逻辑画面保持 640×480 RGB565，HDMI 保持 1920×1080 60 Hz 居中 2 倍缩放。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不得设置 EFX_HIFTDI_ENABLE=1。该环境变量曾导致本机重启；所有 Efinity 和上板命令执行前必须确认它未设置。</w:t>
      </w:r>
    </w:p>
    <w:p>
      <w:r>
        <w:rPr>
          <w:rFonts w:ascii="Microsoft YaHei" w:hAnsi="Microsoft YaHei" w:eastAsia="Microsoft YaHei"/>
        </w:rP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 原计划中不合理处与处理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422"/>
        <w:gridCol w:w="5839"/>
        <w:gridCol w:w="4535"/>
      </w:tblGrid>
      <w:tr>
        <w:trPr>
          <w:tblHeader w:val="true"/>
        </w:trPr>
        <w:tc>
          <w:tcPr>
            <w:tcW w:type="dxa" w:w="4422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不合理处</w:t>
            </w:r>
          </w:p>
        </w:tc>
        <w:tc>
          <w:tcPr>
            <w:tcW w:type="dxa" w:w="5839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新计划处理</w:t>
            </w:r>
          </w:p>
        </w:tc>
        <w:tc>
          <w:tcPr>
            <w:tcW w:type="dxa" w:w="4535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最终结果是否变化</w:t>
            </w:r>
          </w:p>
        </w:tc>
      </w:tr>
      <w:tr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52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SparseDecoder 依赖 B 的 sparse_format.h，而 B 的 sparse_format.h 又依赖 SparseDecoder 合同，形成循环等待。</w:t>
            </w:r>
          </w:p>
        </w:tc>
        <w:tc>
          <w:tcPr>
            <w:tcW w:type="dxa" w:w="58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直接采用 docs/gpu_interface.md 已存在的 32 位 Sparse 合同；第 1 天上午只补齐边界语义，负责人和 B 按同一合同并行。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不变；仍交付硬件解码器、C 打包器、随机向量和损坏流检测。</w:t>
            </w:r>
          </w:p>
        </w:tc>
      </w:tr>
      <w:tr>
        <w:tc>
          <w:tcPr>
            <w:tcW w:type="dxa" w:w="4422"/>
            <w:shd w:fill="F3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52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原第 19 天只做解码器、第 20 天才做 Sparse Blit，单日结果不能端到端验收。</w:t>
            </w:r>
          </w:p>
        </w:tc>
        <w:tc>
          <w:tcPr>
            <w:tcW w:type="dxa" w:w="5839"/>
            <w:shd w:fill="F3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合并为第 1 天的一个端到端增量，同日完成 pack、decode、blit、CRC 和 DDR 字节比较。</w:t>
            </w:r>
          </w:p>
        </w:tc>
        <w:tc>
          <w:tcPr>
            <w:tcW w:type="dxa" w:w="4535"/>
            <w:shd w:fill="F3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不变；验收更直接。</w:t>
            </w:r>
          </w:p>
        </w:tc>
      </w:tr>
      <w:tr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52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QoS 硬件和 B 的对比基准互相跨天等待，且 QOS_WATERMARKS 寄存器仍保留未实现。</w:t>
            </w:r>
          </w:p>
        </w:tc>
        <w:tc>
          <w:tcPr>
            <w:tcW w:type="dxa" w:w="58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第 2 天先冻结寄存器位域，再由负责人、A、B 并行实现；当天离线联合验收。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不变；仍给出下溢、Render stall、CPU 延迟、收益和代价。</w:t>
            </w:r>
          </w:p>
        </w:tc>
      </w:tr>
      <w:tr>
        <w:tc>
          <w:tcPr>
            <w:tcW w:type="dxa" w:w="4422"/>
            <w:shd w:fill="F3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52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A 和负责人分别安排板级压力调优，重复生成位流、重复跑相同场景。</w:t>
            </w:r>
          </w:p>
        </w:tc>
        <w:tc>
          <w:tcPr>
            <w:tcW w:type="dxa" w:w="5839"/>
            <w:shd w:fill="F3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前两天只做仿真和主机测试；第 3 天源码冻结后只生成正式候选位流，所有实机项目在同一位流上完成。</w:t>
            </w:r>
          </w:p>
        </w:tc>
        <w:tc>
          <w:tcPr>
            <w:tcW w:type="dxa" w:w="4535"/>
            <w:shd w:fill="F3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不变；减少无效等待。</w:t>
            </w:r>
          </w:p>
        </w:tc>
      </w:tr>
      <w:tr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52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显示下溢计数位于像素时钟域，直接给 CPU 读取会有多位 CDC 风险。</w:t>
            </w:r>
          </w:p>
        </w:tc>
        <w:tc>
          <w:tcPr>
            <w:tcW w:type="dxa" w:w="58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A 输出同步到 GPU 时钟域的单周期 underflow_pulse_gpu；负责人在 GPU 域累加 64 位计数并纳入 APB 快照。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不变；软件获得可靠的下溢计数。</w:t>
            </w:r>
          </w:p>
        </w:tc>
      </w:tr>
      <w:tr>
        <w:tc>
          <w:tcPr>
            <w:tcW w:type="dxa" w:w="4422"/>
            <w:shd w:fill="F3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52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原计划单列 GpuSubsystem.scala，但当前 Efinix2dGpuTop.scala 已直接承担同样连接职责。</w:t>
            </w:r>
          </w:p>
        </w:tc>
        <w:tc>
          <w:tcPr>
            <w:tcW w:type="dxa" w:w="5839"/>
            <w:shd w:fill="F3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不为形式新增一层空包装；在现有顶层完成系统集成并用 GpuSystemSpec 覆盖。</w:t>
            </w:r>
          </w:p>
        </w:tc>
        <w:tc>
          <w:tcPr>
            <w:tcW w:type="dxa" w:w="4535"/>
            <w:shd w:fill="F3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功能、端口和验收不变。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/>
        </w:rPr>
        <w:t>三 冻结接口合同</w:t>
      </w:r>
    </w:p>
    <w:p>
      <w:pPr>
        <w:pStyle w:val="Heading2"/>
      </w:pPr>
      <w:r>
        <w:rPr>
          <w:rFonts w:ascii="Microsoft YaHei" w:hAnsi="Microsoft YaHei" w:eastAsia="Microsoft YaHei"/>
        </w:rPr>
        <w:t>三点一 Sparse token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每行由若干 32 位头 token 组成：bits 15 到 0 为 skipPixels，bits 31 到 16 为 runPixels；头 token 后紧跟 runPixels 个小端 RGB565 literal 像素，两个像素装入一个 32 位字，奇数 run 的最后一个字高半字必须为 0。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解码顺序为先跳过 skipPixels 个透明目标像素，再连续写入 runPixels 个 literal 像素。runPixels 等于 0 表示本行结束；此时 skipPixels 用于覆盖行尾透明区，执行后横坐标必须恰好等于 width。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每行必须且只能出现一个结束 token，完成 height 行后命令结束。skip 或 run 越过行宽、提前结束行、奇数 run 填充半字非零、额外行或非法头产生 GPU_ERROR_SPARSE_FORMAT；AXI 返回错误产生 GPU_ERROR_AXI_RESPONSE。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Sparse 命令 src_addr 指向 token 流，dst_addr 和 dst_stride 描述目标矩形。Sparse 路径不读取目标背景，只读取头和 literal，并且只写 literal 像素。</w:t>
      </w:r>
    </w:p>
    <w:p>
      <w:pPr>
        <w:pStyle w:val="Heading2"/>
      </w:pPr>
      <w:r>
        <w:rPr>
          <w:rFonts w:ascii="Microsoft YaHei" w:hAnsi="Microsoft YaHei" w:eastAsia="Microsoft YaHei"/>
        </w:rPr>
        <w:t>三点二 QoS 与性能寄存器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GPU_REG_QOS_WATERMARKS 0x0048：bits 11 到 0 为 low，bits 27 到 16 为 high，bit 31 为 adaptive_enable，其余位写 0；默认 low 256、high 1536、adaptive_enable 1。low 必须小于 high，非法写入返回 PSLVERROR 且保留旧值。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自适应模式在 scanoutLevel 小于等于 low 时进入 Scanout 优先，在 scanoutLevel 大于等于 high 时恢复事务级轮询；迟滞区保持原模式。Render 连续等待达到固定上界时必须获得一次事务，最终上界由第 3 天实测确定并记录。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在现有寄存器之后新增 64 位 underflow、render grant 和 scanout grant 快照，不移动 0x0000 到 0x0074 的任何旧偏移。B 的固定轮询和自适应对比必须使用同一压力命令流。</w:t>
      </w:r>
    </w:p>
    <w:p>
      <w:pPr>
        <w:pStyle w:val="Heading2"/>
      </w:pPr>
      <w:r>
        <w:rPr>
          <w:rFonts w:ascii="Microsoft YaHei" w:hAnsi="Microsoft YaHei" w:eastAsia="Microsoft YaHei"/>
        </w:rPr>
        <w:t>三点三 文件所有权与合并规则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主负责人只改 chisel、generated/efinix_gpu、共享接口文档和负责人验收文档；组员 A 只改 board/efinix_ti60 下的显示、顶层、约束、Efinity 工程和显示验收材料；组员 B 只改 sw/efinix_gpu、软件测试和软件验收材料。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共享合同在每天上午冻结后不再临时改名或改位宽。若必须变更，先更新 docs/gpu_interface.md，再由三人同步修改；禁止各自保留兼容分支。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第 3 天合并顺序固定为 B 软件测试、A Verilog 测试、负责人 Chisel 测试与 RTL 生成、Efinity 构建、上板验收、最终文档和校验和。</w:t>
      </w:r>
    </w:p>
    <w:p>
      <w:pPr>
        <w:pStyle w:val="Heading1"/>
      </w:pPr>
      <w:r>
        <w:rPr>
          <w:rFonts w:ascii="Microsoft YaHei" w:hAnsi="Microsoft YaHei" w:eastAsia="Microsoft YaHei"/>
        </w:rPr>
        <w:t>四 第一天 Sparse 端到端</w:t>
      </w:r>
    </w:p>
    <w:p>
      <w:r>
        <w:rPr>
          <w:rFonts w:ascii="Microsoft YaHei" w:hAnsi="Microsoft YaHei" w:eastAsia="Microsoft YaHei"/>
          <w:b/>
        </w:rPr>
        <w:t>当天目标：</w:t>
      </w:r>
      <w:r>
        <w:rPr>
          <w:rFonts w:ascii="Microsoft YaHei" w:hAnsi="Microsoft YaHei" w:eastAsia="Microsoft YaHei"/>
        </w:rPr>
        <w:t>结束循环依赖，交付可由 C 打包、Chisel 解码、AXI 写回并与 Dense Color Key 得到相同帧 CRC 的完整 Sparse 路径。</w:t>
      </w:r>
    </w:p>
    <w:p>
      <w:pPr>
        <w:pStyle w:val="Heading3"/>
        <w:keepNext w:val="1"/>
      </w:pPr>
      <w:r>
        <w:rPr>
          <w:rFonts w:ascii="Microsoft YaHei" w:hAnsi="Microsoft YaHei" w:eastAsia="Microsoft YaHei"/>
        </w:rPr>
        <w:t>主负责人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701"/>
        <w:gridCol w:w="12756"/>
      </w:tblGrid>
      <w:tr>
        <w:tc>
          <w:tcPr>
            <w:tcW w:type="dxa" w:w="1701"/>
            <w:vAlign w:val="center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提交文件</w:t>
            </w:r>
          </w:p>
        </w:tc>
        <w:tc>
          <w:tcPr>
            <w:tcW w:type="dxa" w:w="127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新建 chisel/src/main/scala/gpu/SparseDecoder.scala、SparseBlitEngine.scala；新建 chisel/src/test/scala/gpu/SparseDecoderSpec.scala；修改 CommandValidator.scala、RenderEngine.scala、GpuSystemSpec.scala、docs/gpu_interface.md。每个 Chisel Module 单独放在同名 Scala 文件，生成后保持一文件一 module。</w:t>
            </w:r>
          </w:p>
        </w:tc>
      </w:tr>
      <w:tr>
        <w:tc>
          <w:tcPr>
            <w:tcW w:type="dxa" w:w="1701"/>
            <w:vAlign w:val="center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负责功能</w:t>
            </w:r>
          </w:p>
        </w:tc>
        <w:tc>
          <w:tcPr>
            <w:tcW w:type="dxa" w:w="127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SparseDecoder 只解析头、literal 和二维坐标；SparseBlitEngine 复用现有 AxiReadEngine、AxiWriteEngine、PixelWritePacker，只为 literal 发起写入；RenderEngine 在 Dense、Sparse、PRESENT 三条路径间选择并统一 completion、错误和性能事件。</w:t>
            </w:r>
          </w:p>
        </w:tc>
      </w:tr>
      <w:tr>
        <w:tc>
          <w:tcPr>
            <w:tcW w:type="dxa" w:w="1701"/>
            <w:vAlign w:val="center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需要输入</w:t>
            </w:r>
          </w:p>
        </w:tc>
        <w:tc>
          <w:tcPr>
            <w:tcW w:type="dxa" w:w="127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输入为 GPU_OP_SPARSE 命令、32 位 AXI token 数据、width、height、dst_addr、dst_stride和 AXI 反压。</w:t>
            </w:r>
          </w:p>
        </w:tc>
      </w:tr>
      <w:tr>
        <w:tc>
          <w:tcPr>
            <w:tcW w:type="dxa" w:w="1701"/>
            <w:vAlign w:val="center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目标输出</w:t>
            </w:r>
          </w:p>
        </w:tc>
        <w:tc>
          <w:tcPr>
            <w:tcW w:type="dxa" w:w="127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输出为 literal 的 x、y、RGB565，目标帧写事务，tag completion，GPU_ERROR_SPARSE_FORMAT 或 GPU_ERROR_AXI_RESPONSE，以及真实读写字节计数。</w:t>
            </w:r>
          </w:p>
        </w:tc>
      </w:tr>
      <w:tr>
        <w:tc>
          <w:tcPr>
            <w:tcW w:type="dxa" w:w="1701"/>
            <w:vAlign w:val="center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所需依赖</w:t>
            </w:r>
          </w:p>
        </w:tc>
        <w:tc>
          <w:tcPr>
            <w:tcW w:type="dxa" w:w="127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依赖现有 GpuTypes.scala、AxiReadEngine.scala、AxiWriteEngine.scala、PixelWritePacker.scala 和已冻结 Sparse 合同；不等待新的 B 头文件才开始。</w:t>
            </w:r>
          </w:p>
        </w:tc>
      </w:tr>
      <w:tr>
        <w:tc>
          <w:tcPr>
            <w:tcW w:type="dxa" w:w="1701"/>
            <w:vAlign w:val="center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当日顺序</w:t>
            </w:r>
          </w:p>
        </w:tc>
        <w:tc>
          <w:tcPr>
            <w:tcW w:type="dxa" w:w="127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上午补齐接口文档和写失败测试；中午与 B 用同一组手算向量对齐；下午实现最小逻辑并完成 RenderEngine 集成。</w:t>
            </w:r>
          </w:p>
        </w:tc>
      </w:tr>
      <w:tr>
        <w:tc>
          <w:tcPr>
            <w:tcW w:type="dxa" w:w="1701"/>
            <w:vAlign w:val="center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当日验收</w:t>
            </w:r>
          </w:p>
        </w:tc>
        <w:tc>
          <w:tcPr>
            <w:tcW w:type="dxa" w:w="127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固定边界、全透明行、奇数 literal、跨行、随机反压、损坏流均有可失败断言；Sparse 与 Dense Color Key 的整帧 CRC 相同；透明像素不产生目标读写，Sparse DDR 读取字节少于 Dense 源图读取字节。</w:t>
            </w:r>
          </w:p>
        </w:tc>
      </w:tr>
    </w:tbl>
    <w:p>
      <w:pPr>
        <w:spacing w:after="40"/>
      </w:pPr>
    </w:p>
    <w:p>
      <w:pPr>
        <w:pStyle w:val="Heading3"/>
        <w:keepNext w:val="1"/>
      </w:pPr>
      <w:r>
        <w:rPr>
          <w:rFonts w:ascii="Microsoft YaHei" w:hAnsi="Microsoft YaHei" w:eastAsia="Microsoft YaHei"/>
        </w:rPr>
        <w:t>组员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701"/>
        <w:gridCol w:w="12756"/>
      </w:tblGrid>
      <w:tr>
        <w:tc>
          <w:tcPr>
            <w:tcW w:type="dxa" w:w="1701"/>
            <w:vAlign w:val="center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提交文件</w:t>
            </w:r>
          </w:p>
        </w:tc>
        <w:tc>
          <w:tcPr>
            <w:tcW w:type="dxa" w:w="127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修改 board/efinix_ti60/rtl/display/hdmi_subsystem.v、board/efinix_ti60/rtl/board_top.v、board/efinix_ti60/rtl/tb/tb_hdmi_subsystem.sv；复核 board/efinix_ti60/efinix_2d_gpu.sdc；更新 docs/efinix_2d_gpu/board_test_report.md。所有 .v 文件继续一文件一 module。</w:t>
            </w:r>
          </w:p>
        </w:tc>
      </w:tr>
      <w:tr>
        <w:tc>
          <w:tcPr>
            <w:tcW w:type="dxa" w:w="1701"/>
            <w:vAlign w:val="center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负责功能</w:t>
            </w:r>
          </w:p>
        </w:tc>
        <w:tc>
          <w:tcPr>
            <w:tcW w:type="dxa" w:w="127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复用 vblank_pulse_sync，把像素时钟域 scale_underflow 的上升沿转换为 GPU 时钟域单周期 underflow_pulse_gpu；保留现有黑底保护、粘滞 underflow_event 和 16 位显示侧计数。同时在当前 Dense 压力场景建立最终候选前的板级基线。</w:t>
            </w:r>
          </w:p>
        </w:tc>
      </w:tr>
      <w:tr>
        <w:tc>
          <w:tcPr>
            <w:tcW w:type="dxa" w:w="1701"/>
            <w:vAlign w:val="center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需要输入</w:t>
            </w:r>
          </w:p>
        </w:tc>
        <w:tc>
          <w:tcPr>
            <w:tcW w:type="dxa" w:w="127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输入为 pixel_clk、gpu_clk、scale_underflow、FIFO 水位和 B 已完成的 Fill、Copy、Key、Alpha 压力场景。</w:t>
            </w:r>
          </w:p>
        </w:tc>
      </w:tr>
      <w:tr>
        <w:tc>
          <w:tcPr>
            <w:tcW w:type="dxa" w:w="1701"/>
            <w:vAlign w:val="center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目标输出</w:t>
            </w:r>
          </w:p>
        </w:tc>
        <w:tc>
          <w:tcPr>
            <w:tcW w:type="dxa" w:w="127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输出为 underflow_pulse_gpu、可观察的 FIFO level、基线 underflow 数据和无撕裂显示记录。</w:t>
            </w:r>
          </w:p>
        </w:tc>
      </w:tr>
      <w:tr>
        <w:tc>
          <w:tcPr>
            <w:tcW w:type="dxa" w:w="1701"/>
            <w:vAlign w:val="center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所需依赖</w:t>
            </w:r>
          </w:p>
        </w:tc>
        <w:tc>
          <w:tcPr>
            <w:tcW w:type="dxa" w:w="127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依赖现有 hdmi_subsystem、vblank_pulse_sync、负责人已完成的 PRESENT 和 B 第 20 天压力场景；不依赖第 1 天 Sparse 位流。</w:t>
            </w:r>
          </w:p>
        </w:tc>
      </w:tr>
      <w:tr>
        <w:tc>
          <w:tcPr>
            <w:tcW w:type="dxa" w:w="1701"/>
            <w:vAlign w:val="center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当日顺序</w:t>
            </w:r>
          </w:p>
        </w:tc>
        <w:tc>
          <w:tcPr>
            <w:tcW w:type="dxa" w:w="127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上午完成 CDC 测试；下午使用当前已验证位流运行 Dense 基线，不重新综合 Sparse 候选。</w:t>
            </w:r>
          </w:p>
        </w:tc>
      </w:tr>
      <w:tr>
        <w:tc>
          <w:tcPr>
            <w:tcW w:type="dxa" w:w="1701"/>
            <w:vAlign w:val="center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当日验收</w:t>
            </w:r>
          </w:p>
        </w:tc>
        <w:tc>
          <w:tcPr>
            <w:tcW w:type="dxa" w:w="127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Icarus 证明一个下溢段只产生一个 GPU 域脉冲、断流黑底且恢复后下一帧正常；当前 Dense 混合场景连续 10 分钟无撕裂，记录 underflow 基线。</w:t>
            </w:r>
          </w:p>
        </w:tc>
      </w:tr>
    </w:tbl>
    <w:p>
      <w:pPr>
        <w:spacing w:after="40"/>
      </w:pPr>
    </w:p>
    <w:p>
      <w:pPr>
        <w:pStyle w:val="Heading3"/>
        <w:keepNext w:val="1"/>
      </w:pPr>
      <w:r>
        <w:rPr>
          <w:rFonts w:ascii="Microsoft YaHei" w:hAnsi="Microsoft YaHei" w:eastAsia="Microsoft YaHei"/>
        </w:rPr>
        <w:t>组员 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701"/>
        <w:gridCol w:w="12756"/>
      </w:tblGrid>
      <w:tr>
        <w:tc>
          <w:tcPr>
            <w:tcW w:type="dxa" w:w="1701"/>
            <w:vAlign w:val="center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提交文件</w:t>
            </w:r>
          </w:p>
        </w:tc>
        <w:tc>
          <w:tcPr>
            <w:tcW w:type="dxa" w:w="127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新建 sw/efinix_gpu/include/sparse_format.h、sw/efinix_gpu/src/sparse_pack.c、sw/efinix_gpu/tests/test_sparse.c；修改 include/gpu.h、include/assets.h、include/benchmark.h、src/gpu.c、src/assets.c、src/benchmark.c。</w:t>
            </w:r>
          </w:p>
        </w:tc>
      </w:tr>
      <w:tr>
        <w:tc>
          <w:tcPr>
            <w:tcW w:type="dxa" w:w="1701"/>
            <w:vAlign w:val="center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负责功能</w:t>
            </w:r>
          </w:p>
        </w:tc>
        <w:tc>
          <w:tcPr>
            <w:tcW w:type="dxa" w:w="127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sparse_pack_rgb565 将密集 Sprite 和透明 key 编码为冻结 token；gpu_sparse_async 提交 Sparse 命令；assets 同时提供 Dense 和 Sparse 的同一素材；benchmark 统计 token 字节、Dense 字节、压缩率、周期和 CRC。</w:t>
            </w:r>
          </w:p>
        </w:tc>
      </w:tr>
      <w:tr>
        <w:tc>
          <w:tcPr>
            <w:tcW w:type="dxa" w:w="1701"/>
            <w:vAlign w:val="center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需要输入</w:t>
            </w:r>
          </w:p>
        </w:tc>
        <w:tc>
          <w:tcPr>
            <w:tcW w:type="dxa" w:w="127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输入为 RGB565 Sprite、width、height、stride_pixels、color_key、输出缓冲区容量和 GPU 目标地址。</w:t>
            </w:r>
          </w:p>
        </w:tc>
      </w:tr>
      <w:tr>
        <w:tc>
          <w:tcPr>
            <w:tcW w:type="dxa" w:w="1701"/>
            <w:vAlign w:val="center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目标输出</w:t>
            </w:r>
          </w:p>
        </w:tc>
        <w:tc>
          <w:tcPr>
            <w:tcW w:type="dxa" w:w="127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输出为 token word 流、word_count、压缩率、参考解码帧、gpu_sparse_async API 和 dense sparse 对比记录结构。</w:t>
            </w:r>
          </w:p>
        </w:tc>
      </w:tr>
      <w:tr>
        <w:tc>
          <w:tcPr>
            <w:tcW w:type="dxa" w:w="1701"/>
            <w:vAlign w:val="center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所需依赖</w:t>
            </w:r>
          </w:p>
        </w:tc>
        <w:tc>
          <w:tcPr>
            <w:tcW w:type="dxa" w:w="127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只依赖 docs/gpu_interface.md 的冻结合同和现有 GPU_OP_SPARSE 编号；与主负责人共享手算向量，但不依赖其实现细节。</w:t>
            </w:r>
          </w:p>
        </w:tc>
      </w:tr>
      <w:tr>
        <w:tc>
          <w:tcPr>
            <w:tcW w:type="dxa" w:w="1701"/>
            <w:vAlign w:val="center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当日顺序</w:t>
            </w:r>
          </w:p>
        </w:tc>
        <w:tc>
          <w:tcPr>
            <w:tcW w:type="dxa" w:w="127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上午先写 test_sparse.c 并确认失败；中午交付手算 token 向量；下午完成打包器、驱动 API、素材和基准字段。</w:t>
            </w:r>
          </w:p>
        </w:tc>
      </w:tr>
      <w:tr>
        <w:tc>
          <w:tcPr>
            <w:tcW w:type="dxa" w:w="1701"/>
            <w:vAlign w:val="center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当日验收</w:t>
            </w:r>
          </w:p>
        </w:tc>
        <w:tc>
          <w:tcPr>
            <w:tcW w:type="dxa" w:w="127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全透明、全实像素、行尾透明、奇数 run、容量不足、随机 Sprite 和损坏流均覆盖；C 参考解码结果逐像素等于 Dense；同一 Sprite 的 Sparse token 字节少于 Dense 字节。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</w:rPr>
        <w:t>第一天联合出口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负责人 SparseDecoderSpec 和 GpuSystemSpec 读取与 B test_sparse.c 相同的手算向量，字段和值完全一致。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不生成正式位流；失败只在源代码和仿真层修复，避免把接口问题带到 Efinity。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第 1 天结束时，原负责人第 19 至 20 天、B 第 22 至 23 天的最终功能已经完成；A 完成原第 20 天基线和最终下溢计数所需 CDC。</w:t>
      </w:r>
    </w:p>
    <w:p>
      <w:r>
        <w:rPr>
          <w:rFonts w:ascii="Microsoft YaHei" w:hAnsi="Microsoft YaHei" w:eastAsia="Microsoft YaHei"/>
        </w:rP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五 第二天 自适应 QoS 与完整系统</w:t>
      </w:r>
    </w:p>
    <w:p>
      <w:r>
        <w:rPr>
          <w:rFonts w:ascii="Microsoft YaHei" w:hAnsi="Microsoft YaHei" w:eastAsia="Microsoft YaHei"/>
          <w:b/>
        </w:rPr>
        <w:t>当天目标：</w:t>
      </w:r>
      <w:r>
        <w:rPr>
          <w:rFonts w:ascii="Microsoft YaHei" w:hAnsi="Microsoft YaHei" w:eastAsia="Microsoft YaHei"/>
        </w:rPr>
        <w:t>完成可控、可测的水位自适应 DDR 仲裁，把 Sparse、Scanout、PRESENT 和全部 Dense 命令在一个仿真系统中跑通。</w:t>
      </w:r>
    </w:p>
    <w:p>
      <w:pPr>
        <w:pStyle w:val="Heading3"/>
        <w:keepNext w:val="1"/>
      </w:pPr>
      <w:r>
        <w:rPr>
          <w:rFonts w:ascii="Microsoft YaHei" w:hAnsi="Microsoft YaHei" w:eastAsia="Microsoft YaHei"/>
        </w:rPr>
        <w:t>主负责人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701"/>
        <w:gridCol w:w="12756"/>
      </w:tblGrid>
      <w:tr>
        <w:tc>
          <w:tcPr>
            <w:tcW w:type="dxa" w:w="1701"/>
            <w:vAlign w:val="center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提交文件</w:t>
            </w:r>
          </w:p>
        </w:tc>
        <w:tc>
          <w:tcPr>
            <w:tcW w:type="dxa" w:w="127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修改 chisel/src/main/scala/gpu/DdrQosArbiter.scala、GpuMemoryMap.scala、GpuApbRegs.scala、GpuPerfCounters.scala、Efinix2dGpuTop.scala；修改 DdrQosArbiterSpec.scala、GpuFrontEndSpec.scala、Efinix2dGpuTopSpec.scala、GpuSystemSpec.scala、docs/gpu_interface.md。</w:t>
            </w:r>
          </w:p>
        </w:tc>
      </w:tr>
      <w:tr>
        <w:tc>
          <w:tcPr>
            <w:tcW w:type="dxa" w:w="1701"/>
            <w:vAlign w:val="center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负责功能</w:t>
            </w:r>
          </w:p>
        </w:tc>
        <w:tc>
          <w:tcPr>
            <w:tcW w:type="dxa" w:w="127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DdrQosArbiter 增加低高水位迟滞、固定轮询模式和 Render 饥饿上界；GpuApbRegs 实现 QOS_WATERMARKS 和新增性能快照；GpuPerfCounters 记录 underflow、render grant、scanout grant；Efinix2dGpuTop 消费 scanoutLevel 和 underflow_pulse_gpu。</w:t>
            </w:r>
          </w:p>
        </w:tc>
      </w:tr>
      <w:tr>
        <w:tc>
          <w:tcPr>
            <w:tcW w:type="dxa" w:w="1701"/>
            <w:vAlign w:val="center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需要输入</w:t>
            </w:r>
          </w:p>
        </w:tc>
        <w:tc>
          <w:tcPr>
            <w:tcW w:type="dxa" w:w="127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输入为 Render 和 Scanout 两路 AXI、scanoutLevel、underflow_pulse_gpu、low、high、adaptive_enable、perf snapshot 和 clear。</w:t>
            </w:r>
          </w:p>
        </w:tc>
      </w:tr>
      <w:tr>
        <w:tc>
          <w:tcPr>
            <w:tcW w:type="dxa" w:w="1701"/>
            <w:vAlign w:val="center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目标输出</w:t>
            </w:r>
          </w:p>
        </w:tc>
        <w:tc>
          <w:tcPr>
            <w:tcW w:type="dxa" w:w="127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输出为单一 AXI Master、当前优先模式、grant 事件、64 位性能计数、APB 可读快照和不变的旧寄存器偏移。</w:t>
            </w:r>
          </w:p>
        </w:tc>
      </w:tr>
      <w:tr>
        <w:tc>
          <w:tcPr>
            <w:tcW w:type="dxa" w:w="1701"/>
            <w:vAlign w:val="center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所需依赖</w:t>
            </w:r>
          </w:p>
        </w:tc>
        <w:tc>
          <w:tcPr>
            <w:tcW w:type="dxa" w:w="127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依赖第 1 天 Sparse 路径、A 的 underflow_pulse_gpu 信号名和现有 ScanoutDma；不依赖板级实测参数即可先完成可调实现。</w:t>
            </w:r>
          </w:p>
        </w:tc>
      </w:tr>
      <w:tr>
        <w:tc>
          <w:tcPr>
            <w:tcW w:type="dxa" w:w="1701"/>
            <w:vAlign w:val="center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当日顺序</w:t>
            </w:r>
          </w:p>
        </w:tc>
        <w:tc>
          <w:tcPr>
            <w:tcW w:type="dxa" w:w="127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上午冻结寄存器位域并写失败测试；中午实现仲裁和寄存器；下午完成全系统混合序列及随机反压测试。</w:t>
            </w:r>
          </w:p>
        </w:tc>
      </w:tr>
      <w:tr>
        <w:tc>
          <w:tcPr>
            <w:tcW w:type="dxa" w:w="1701"/>
            <w:vAlign w:val="center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当日验收</w:t>
            </w:r>
          </w:p>
        </w:tc>
        <w:tc>
          <w:tcPr>
            <w:tcW w:type="dxa" w:w="127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low high 迟滞无抖动；固定模式保持事务级轮询；自适应模式在低水位有界响应 Scanout，Render 在上界内获得事务；非法阈值写不改变旧值；Fill、Copy、Key、Alpha、Sparse、PRESENT 混合序列的 CRC、IRQ、tag 和计数均正确。</w:t>
            </w:r>
          </w:p>
        </w:tc>
      </w:tr>
    </w:tbl>
    <w:p>
      <w:pPr>
        <w:spacing w:after="40"/>
      </w:pPr>
    </w:p>
    <w:p>
      <w:pPr>
        <w:pStyle w:val="Heading3"/>
        <w:keepNext w:val="1"/>
      </w:pPr>
      <w:r>
        <w:rPr>
          <w:rFonts w:ascii="Microsoft YaHei" w:hAnsi="Microsoft YaHei" w:eastAsia="Microsoft YaHei"/>
        </w:rPr>
        <w:t>组员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701"/>
        <w:gridCol w:w="12756"/>
      </w:tblGrid>
      <w:tr>
        <w:tc>
          <w:tcPr>
            <w:tcW w:type="dxa" w:w="1701"/>
            <w:vAlign w:val="center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提交文件</w:t>
            </w:r>
          </w:p>
        </w:tc>
        <w:tc>
          <w:tcPr>
            <w:tcW w:type="dxa" w:w="127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修改 board/efinix_ti60/rtl/efinix_sapphire_adapter.v、board/efinix_ti60/rtl/board_top.v、board/efinix_ti60/rtl/display/hdmi_subsystem.v、board/efinix_ti60/rtl/tb/tb_hdmi_subsystem.sv；必要时补充 board/efinix_ti60/efinix_2d_gpu.sdc。</w:t>
            </w:r>
          </w:p>
        </w:tc>
      </w:tr>
      <w:tr>
        <w:tc>
          <w:tcPr>
            <w:tcW w:type="dxa" w:w="1701"/>
            <w:vAlign w:val="center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负责功能</w:t>
            </w:r>
          </w:p>
        </w:tc>
        <w:tc>
          <w:tcPr>
            <w:tcW w:type="dxa" w:w="127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把 fifo_level 和 underflow_pulse_gpu 连接到冻结的 Efinix2dGpuTop 端口；保留显示下溢黑底与恢复行为；为最终综合补齐 CDC 和时钟约束。</w:t>
            </w:r>
          </w:p>
        </w:tc>
      </w:tr>
      <w:tr>
        <w:tc>
          <w:tcPr>
            <w:tcW w:type="dxa" w:w="1701"/>
            <w:vAlign w:val="center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需要输入</w:t>
            </w:r>
          </w:p>
        </w:tc>
        <w:tc>
          <w:tcPr>
            <w:tcW w:type="dxa" w:w="127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输入为负责人冻结的顶层端口表、gpu_clk、pixel_clk、fifo_level、scale_underflow 和复位。</w:t>
            </w:r>
          </w:p>
        </w:tc>
      </w:tr>
      <w:tr>
        <w:tc>
          <w:tcPr>
            <w:tcW w:type="dxa" w:w="1701"/>
            <w:vAlign w:val="center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目标输出</w:t>
            </w:r>
          </w:p>
        </w:tc>
        <w:tc>
          <w:tcPr>
            <w:tcW w:type="dxa" w:w="127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输出为无悬空端口的 board_top 与 adapter、明确的跨时钟路径和可由 Verilog 脚本验证的显示接口。</w:t>
            </w:r>
          </w:p>
        </w:tc>
      </w:tr>
      <w:tr>
        <w:tc>
          <w:tcPr>
            <w:tcW w:type="dxa" w:w="1701"/>
            <w:vAlign w:val="center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所需依赖</w:t>
            </w:r>
          </w:p>
        </w:tc>
        <w:tc>
          <w:tcPr>
            <w:tcW w:type="dxa" w:w="127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依赖第 2 天上午冻结的 Efinix2dGpuTop 端口名；只按合同接线，不修改生成的 SystemVerilog。</w:t>
            </w:r>
          </w:p>
        </w:tc>
      </w:tr>
      <w:tr>
        <w:tc>
          <w:tcPr>
            <w:tcW w:type="dxa" w:w="1701"/>
            <w:vAlign w:val="center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当日顺序</w:t>
            </w:r>
          </w:p>
        </w:tc>
        <w:tc>
          <w:tcPr>
            <w:tcW w:type="dxa" w:w="127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上午对齐端口；中午完成接线和约束；下午运行显示断流、恢复、水位跨阈值和协议错误测试。</w:t>
            </w:r>
          </w:p>
        </w:tc>
      </w:tr>
      <w:tr>
        <w:tc>
          <w:tcPr>
            <w:tcW w:type="dxa" w:w="1701"/>
            <w:vAlign w:val="center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当日验收</w:t>
            </w:r>
          </w:p>
        </w:tc>
        <w:tc>
          <w:tcPr>
            <w:tcW w:type="dxa" w:w="127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所有自写 .v 一文件一 module；水位跨阈值仅产生预期模式条件；每个下溢段只形成一个 GPU 域脉冲；显示协议错误和恢复测试通过。</w:t>
            </w:r>
          </w:p>
        </w:tc>
      </w:tr>
    </w:tbl>
    <w:p>
      <w:pPr>
        <w:spacing w:after="40"/>
      </w:pPr>
    </w:p>
    <w:p>
      <w:pPr>
        <w:pStyle w:val="Heading3"/>
        <w:keepNext w:val="1"/>
      </w:pPr>
      <w:r>
        <w:rPr>
          <w:rFonts w:ascii="Microsoft YaHei" w:hAnsi="Microsoft YaHei" w:eastAsia="Microsoft YaHei"/>
        </w:rPr>
        <w:t>组员 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701"/>
        <w:gridCol w:w="12756"/>
      </w:tblGrid>
      <w:tr>
        <w:tc>
          <w:tcPr>
            <w:tcW w:type="dxa" w:w="1701"/>
            <w:vAlign w:val="center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提交文件</w:t>
            </w:r>
          </w:p>
        </w:tc>
        <w:tc>
          <w:tcPr>
            <w:tcW w:type="dxa" w:w="127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修改 sw/efinix_gpu/include/gpu_regs.h、include/gpu.h、include/benchmark.h、include/hud.h、src/gpu.c、src/benchmark.c、src/hud.c；新建 sw/efinix_gpu/tests/test_days21_23.c；更新 scripts/test-efinix-software.ps1。</w:t>
            </w:r>
          </w:p>
        </w:tc>
      </w:tr>
      <w:tr>
        <w:tc>
          <w:tcPr>
            <w:tcW w:type="dxa" w:w="1701"/>
            <w:vAlign w:val="center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负责功能</w:t>
            </w:r>
          </w:p>
        </w:tc>
        <w:tc>
          <w:tcPr>
            <w:tcW w:type="dxa" w:w="127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增加 gpu_set_qos、性能快照和 Sparse 基准 API；在完全相同的命令流、素材、帧数和随机种子下分别运行固定轮询与自适应水位模式；HUD 显示 FPS、underflow、render stall 和 QoS 模式。</w:t>
            </w:r>
          </w:p>
        </w:tc>
      </w:tr>
      <w:tr>
        <w:tc>
          <w:tcPr>
            <w:tcW w:type="dxa" w:w="1701"/>
            <w:vAlign w:val="center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需要输入</w:t>
            </w:r>
          </w:p>
        </w:tc>
        <w:tc>
          <w:tcPr>
            <w:tcW w:type="dxa" w:w="127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输入为 QOS_WATERMARKS 合同、新增性能寄存器、同一压力命令流、同一 Dense Sparse 素材和 300 帧采样结构。</w:t>
            </w:r>
          </w:p>
        </w:tc>
      </w:tr>
      <w:tr>
        <w:tc>
          <w:tcPr>
            <w:tcW w:type="dxa" w:w="1701"/>
            <w:vAlign w:val="center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目标输出</w:t>
            </w:r>
          </w:p>
        </w:tc>
        <w:tc>
          <w:tcPr>
            <w:tcW w:type="dxa" w:w="127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输出为 fixed 与 adaptive 两组 underflow、render stall、CPU cycles、render grant、scanout grant、Sparse DDR bytes、CRC 和成本收益汇总。</w:t>
            </w:r>
          </w:p>
        </w:tc>
      </w:tr>
      <w:tr>
        <w:tc>
          <w:tcPr>
            <w:tcW w:type="dxa" w:w="1701"/>
            <w:vAlign w:val="center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所需依赖</w:t>
            </w:r>
          </w:p>
        </w:tc>
        <w:tc>
          <w:tcPr>
            <w:tcW w:type="dxa" w:w="127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依赖第 2 天上午冻结的寄存器位域，不等待最终位流；主机后端先模拟寄存器和计数。</w:t>
            </w:r>
          </w:p>
        </w:tc>
      </w:tr>
      <w:tr>
        <w:tc>
          <w:tcPr>
            <w:tcW w:type="dxa" w:w="1701"/>
            <w:vAlign w:val="center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当日顺序</w:t>
            </w:r>
          </w:p>
        </w:tc>
        <w:tc>
          <w:tcPr>
            <w:tcW w:type="dxa" w:w="127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上午写寄存器打包和非法参数测试；中午完成驱动 API；下午完成对比基准、HUD 和测试脚本接入。</w:t>
            </w:r>
          </w:p>
        </w:tc>
      </w:tr>
      <w:tr>
        <w:tc>
          <w:tcPr>
            <w:tcW w:type="dxa" w:w="1701"/>
            <w:vAlign w:val="center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当日验收</w:t>
            </w:r>
          </w:p>
        </w:tc>
        <w:tc>
          <w:tcPr>
            <w:tcW w:type="dxa" w:w="127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host sanitizer 测试通过；低大于等于高被拒绝；固定与自适应使用完全相同工作负载；报告结构同时包含收益和代价，不只记录平均 FPS；Sparse 与 Dense CRC 相同。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</w:rPr>
        <w:t>第二天联合出口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三方接口冻结，所有源码和离线测试完成；之后只允许根据时序或实机证据调整参数和关键路径，不再改功能语义。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负责人运行完整 Chisel 回归，A 运行完整 Verilog 回归，B 运行完整软件回归；三条脚本全部通过才进入第 3 天。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第 2 天结束时，原负责人第 21 至 22 天、B 第 21 天、A 与 QoS 接线有关的工作完成。</w:t>
      </w:r>
    </w:p>
    <w:p>
      <w:r>
        <w:rPr>
          <w:rFonts w:ascii="Microsoft YaHei" w:hAnsi="Microsoft YaHei" w:eastAsia="Microsoft YaHei"/>
        </w:rP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六 第三天 生成 上板 调优与封版</w:t>
      </w:r>
    </w:p>
    <w:p>
      <w:r>
        <w:rPr>
          <w:rFonts w:ascii="Microsoft YaHei" w:hAnsi="Microsoft YaHei" w:eastAsia="Microsoft YaHei"/>
          <w:b/>
        </w:rPr>
        <w:t>当天目标：</w:t>
      </w:r>
      <w:r>
        <w:rPr>
          <w:rFonts w:ascii="Microsoft YaHei" w:hAnsi="Microsoft YaHei" w:eastAsia="Microsoft YaHei"/>
        </w:rPr>
        <w:t>从干净合并版本生成唯一正式候选，完成时序、启动、画面、性能、耐久和可复现封版。</w:t>
      </w:r>
    </w:p>
    <w:p>
      <w:pPr>
        <w:pStyle w:val="Heading3"/>
        <w:keepNext w:val="1"/>
      </w:pPr>
      <w:r>
        <w:rPr>
          <w:rFonts w:ascii="Microsoft YaHei" w:hAnsi="Microsoft YaHei" w:eastAsia="Microsoft YaHei"/>
        </w:rPr>
        <w:t>主负责人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701"/>
        <w:gridCol w:w="12756"/>
      </w:tblGrid>
      <w:tr>
        <w:tc>
          <w:tcPr>
            <w:tcW w:type="dxa" w:w="1701"/>
            <w:vAlign w:val="center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提交文件</w:t>
            </w:r>
          </w:p>
        </w:tc>
        <w:tc>
          <w:tcPr>
            <w:tcW w:type="dxa" w:w="127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修改或确认 chisel/src/main/scala/gpu/GenerateEfinix2dGpu.scala、scripts/test-efinix-gpu.ps1；生成 generated/efinix_gpu/*.sv 和 generated/efinix_gpu/filelist.f；必要时按实测修改 DdrQosArbiter.scala、ScanoutDma.scala、GpuPerfCounters.scala；新建 docs/efinix_2d_gpu/lead_acceptance.md 和 release/manifest.sha256。</w:t>
            </w:r>
          </w:p>
        </w:tc>
      </w:tr>
      <w:tr>
        <w:tc>
          <w:tcPr>
            <w:tcW w:type="dxa" w:w="1701"/>
            <w:vAlign w:val="center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负责功能</w:t>
            </w:r>
          </w:p>
        </w:tc>
        <w:tc>
          <w:tcPr>
            <w:tcW w:type="dxa" w:w="127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运行全量 Chisel 测试并用 split verilog 生成正式 RTL；执行结构检查；协调 Efinity 构建；根据真实计数器只调整 Burst、水位和最大连续 grant；记录版本、时钟、资源、性能和复现命令。</w:t>
            </w:r>
          </w:p>
        </w:tc>
      </w:tr>
      <w:tr>
        <w:tc>
          <w:tcPr>
            <w:tcW w:type="dxa" w:w="1701"/>
            <w:vAlign w:val="center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需要输入</w:t>
            </w:r>
          </w:p>
        </w:tc>
        <w:tc>
          <w:tcPr>
            <w:tcW w:type="dxa" w:w="127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输入为第 2 天冻结源码、三条回归脚本、Efinity map place route 报告、板上 underflow 与 grant 计数、B 的 fixed adaptive 基准。</w:t>
            </w:r>
          </w:p>
        </w:tc>
      </w:tr>
      <w:tr>
        <w:tc>
          <w:tcPr>
            <w:tcW w:type="dxa" w:w="1701"/>
            <w:vAlign w:val="center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目标输出</w:t>
            </w:r>
          </w:p>
        </w:tc>
        <w:tc>
          <w:tcPr>
            <w:tcW w:type="dxa" w:w="127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输出为一文件一 module 的 generated RTL、最终 QoS 参数、release 清单、负责人验收报告和可追溯提交哈希。</w:t>
            </w:r>
          </w:p>
        </w:tc>
      </w:tr>
      <w:tr>
        <w:tc>
          <w:tcPr>
            <w:tcW w:type="dxa" w:w="1701"/>
            <w:vAlign w:val="center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所需依赖</w:t>
            </w:r>
          </w:p>
        </w:tc>
        <w:tc>
          <w:tcPr>
            <w:tcW w:type="dxa" w:w="127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依赖 A 的最终板级工程和 B 的最终软件。若离线回归未全绿，不启动 Efinity；若实测失败，只按证据修改根因后重跑相关回归。</w:t>
            </w:r>
          </w:p>
        </w:tc>
      </w:tr>
      <w:tr>
        <w:tc>
          <w:tcPr>
            <w:tcW w:type="dxa" w:w="1701"/>
            <w:vAlign w:val="center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当日顺序</w:t>
            </w:r>
          </w:p>
        </w:tc>
        <w:tc>
          <w:tcPr>
            <w:tcW w:type="dxa" w:w="127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上午生成和结构检查；中午参与构建和冒烟；下午读取性能数据、固定参数并重跑最终生成；最后从干净检出复现。</w:t>
            </w:r>
          </w:p>
        </w:tc>
      </w:tr>
      <w:tr>
        <w:tc>
          <w:tcPr>
            <w:tcW w:type="dxa" w:w="1701"/>
            <w:vAlign w:val="center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当日验收</w:t>
            </w:r>
          </w:p>
        </w:tc>
        <w:tc>
          <w:tcPr>
            <w:tcW w:type="dxa" w:w="127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Fill、Copy、Key、Alpha、Sparse、PRESENT 混合测试通过；每个生成文件只有一个 module；640×480 60 FPS 压力场景 underflow 为 0；生成 RTL 与 Chisel 源一致；干净检出三条脚本通过。</w:t>
            </w:r>
          </w:p>
        </w:tc>
      </w:tr>
    </w:tbl>
    <w:p>
      <w:pPr>
        <w:spacing w:after="40"/>
      </w:pPr>
    </w:p>
    <w:p>
      <w:pPr>
        <w:pStyle w:val="Heading3"/>
        <w:keepNext w:val="1"/>
      </w:pPr>
      <w:r>
        <w:rPr>
          <w:rFonts w:ascii="Microsoft YaHei" w:hAnsi="Microsoft YaHei" w:eastAsia="Microsoft YaHei"/>
        </w:rPr>
        <w:t>组员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701"/>
        <w:gridCol w:w="12756"/>
      </w:tblGrid>
      <w:tr>
        <w:tc>
          <w:tcPr>
            <w:tcW w:type="dxa" w:w="1701"/>
            <w:vAlign w:val="center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提交文件</w:t>
            </w:r>
          </w:p>
        </w:tc>
        <w:tc>
          <w:tcPr>
            <w:tcW w:type="dxa" w:w="127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最终确认 board/efinix_ti60/rtl/board_top.v、rtl/efinix_sapphire_adapter.v、rtl/display/*.v、efinix_2d_gpu.sdc、efinix_2d_gpu.xml、efinix_2d_gpu.peri.xml；必要时仅对失败关键路径修改 gpu_pixel_alpha_blend.v 或 display_scale2x_1080p.v；提交 docs/efinix_2d_gpu/display_acceptance.md、docs/efinix_2d_gpu/board_test_report.md、release/display_30min.mp4、release/efinix_2d_gpu.bit、release/efinix_2d_gpu.hex 和 route report。</w:t>
            </w:r>
          </w:p>
        </w:tc>
      </w:tr>
      <w:tr>
        <w:tc>
          <w:tcPr>
            <w:tcW w:type="dxa" w:w="1701"/>
            <w:vAlign w:val="center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负责功能</w:t>
            </w:r>
          </w:p>
        </w:tc>
        <w:tc>
          <w:tcPr>
            <w:tcW w:type="dxa" w:w="127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完成 Efinity map、place、route 和位流；验证 100 MHz GPU CPU 域与 148.5 MHz 像素域；运行 Dense Sparse 对比、混合压力和 30 分钟耐久；保留截图、CRC、下溢和异常记录。</w:t>
            </w:r>
          </w:p>
        </w:tc>
      </w:tr>
      <w:tr>
        <w:tc>
          <w:tcPr>
            <w:tcW w:type="dxa" w:w="1701"/>
            <w:vAlign w:val="center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需要输入</w:t>
            </w:r>
          </w:p>
        </w:tc>
        <w:tc>
          <w:tcPr>
            <w:tcW w:type="dxa" w:w="127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输入为 generated/efinix_gpu 正式 RTL、B 最终固件、HDMI 显示器、板上 LED、Efinity 报告和 Programmer。</w:t>
            </w:r>
          </w:p>
        </w:tc>
      </w:tr>
      <w:tr>
        <w:tc>
          <w:tcPr>
            <w:tcW w:type="dxa" w:w="1701"/>
            <w:vAlign w:val="center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目标输出</w:t>
            </w:r>
          </w:p>
        </w:tc>
        <w:tc>
          <w:tcPr>
            <w:tcW w:type="dxa" w:w="127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输出为 bit、hex、route report、资源报告、WNS、截图、视频、Dense Sparse CRC、underflow 计数和显示验收报告。</w:t>
            </w:r>
          </w:p>
        </w:tc>
      </w:tr>
      <w:tr>
        <w:tc>
          <w:tcPr>
            <w:tcW w:type="dxa" w:w="1701"/>
            <w:vAlign w:val="center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所需依赖</w:t>
            </w:r>
          </w:p>
        </w:tc>
        <w:tc>
          <w:tcPr>
            <w:tcW w:type="dxa" w:w="127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依赖主负责人生成 RTL 和 B 固件；使用同一正式候选位流完成所有实机测试，不为每个测试重复构建。</w:t>
            </w:r>
          </w:p>
        </w:tc>
      </w:tr>
      <w:tr>
        <w:tc>
          <w:tcPr>
            <w:tcW w:type="dxa" w:w="1701"/>
            <w:vAlign w:val="center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当日顺序</w:t>
            </w:r>
          </w:p>
        </w:tc>
        <w:tc>
          <w:tcPr>
            <w:tcW w:type="dxa" w:w="127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上午 Efinity 构建；中午完成上电、DDR、CPU、LED、HDMI 冒烟；下午完成 Dense Sparse、QoS 压力与 30 分钟耐久。只有失败关键路径才加寄存器，并同步更新延迟合同与全部受影响测试。</w:t>
            </w:r>
          </w:p>
        </w:tc>
      </w:tr>
      <w:tr>
        <w:tc>
          <w:tcPr>
            <w:tcW w:type="dxa" w:w="1701"/>
            <w:vAlign w:val="center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当日验收</w:t>
            </w:r>
          </w:p>
        </w:tc>
        <w:tc>
          <w:tcPr>
            <w:tcW w:type="dxa" w:w="127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0 个未分配核心管脚、0 个 timing violation、100 MHz 和 148.5 MHz 的 WNS 均大于等于 0；Dense 与 Sparse 同场景 CRC 相同；10 分钟混合压力和 30 分钟最终运行无黑屏、撕裂、错色和新增下溢；断流恢复行为仍正确。</w:t>
            </w:r>
          </w:p>
        </w:tc>
      </w:tr>
    </w:tbl>
    <w:p>
      <w:pPr>
        <w:spacing w:after="40"/>
      </w:pPr>
    </w:p>
    <w:p>
      <w:pPr>
        <w:pStyle w:val="Heading3"/>
        <w:keepNext w:val="1"/>
      </w:pPr>
      <w:r>
        <w:rPr>
          <w:rFonts w:ascii="Microsoft YaHei" w:hAnsi="Microsoft YaHei" w:eastAsia="Microsoft YaHei"/>
        </w:rPr>
        <w:t>组员 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701"/>
        <w:gridCol w:w="12756"/>
      </w:tblGrid>
      <w:tr>
        <w:tc>
          <w:tcPr>
            <w:tcW w:type="dxa" w:w="1701"/>
            <w:vAlign w:val="center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提交文件</w:t>
            </w:r>
          </w:p>
        </w:tc>
        <w:tc>
          <w:tcPr>
            <w:tcW w:type="dxa" w:w="127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最终确认 sw/efinix_gpu/Makefile、linker.ld、src/main.c、全部 include、src、tests；更新 scripts/test-efinix-software.ps1；提交 docs/efinix_2d_gpu/software_acceptance.md、release/gpu_demo.elf、release/gpu_demo.bin、release/gpu_demo.hex、release/uart_boot.log 和 release/benchmark.csv。</w:t>
            </w:r>
          </w:p>
        </w:tc>
      </w:tr>
      <w:tr>
        <w:tc>
          <w:tcPr>
            <w:tcW w:type="dxa" w:w="1701"/>
            <w:vAlign w:val="center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负责功能</w:t>
            </w:r>
          </w:p>
        </w:tc>
        <w:tc>
          <w:tcPr>
            <w:tcW w:type="dxa" w:w="127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固定随机种子和比赛演示顺序；交叉编译并按官方 bootloader 与 Programmer 地址规则组合启动映像；运行板级自检、300 帧容量基准、Dense Sparse 比较和 fixed adaptive QoS 比较。</w:t>
            </w:r>
          </w:p>
        </w:tc>
      </w:tr>
      <w:tr>
        <w:tc>
          <w:tcPr>
            <w:tcW w:type="dxa" w:w="1701"/>
            <w:vAlign w:val="center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需要输入</w:t>
            </w:r>
          </w:p>
        </w:tc>
        <w:tc>
          <w:tcPr>
            <w:tcW w:type="dxa" w:w="127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输入为负责人最终寄存器与命令合同、A 最终 bit、官方 Sapphire BSP 和 bootloader、板上性能计数器。</w:t>
            </w:r>
          </w:p>
        </w:tc>
      </w:tr>
      <w:tr>
        <w:tc>
          <w:tcPr>
            <w:tcW w:type="dxa" w:w="1701"/>
            <w:vAlign w:val="center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目标输出</w:t>
            </w:r>
          </w:p>
        </w:tc>
        <w:tc>
          <w:tcPr>
            <w:tcW w:type="dxa" w:w="127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输出为可断电启动的 elf bin hex、UART 日志、300 帧原始数据与汇总、最终软件验收报告。</w:t>
            </w:r>
          </w:p>
        </w:tc>
      </w:tr>
      <w:tr>
        <w:tc>
          <w:tcPr>
            <w:tcW w:type="dxa" w:w="1701"/>
            <w:vAlign w:val="center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所需依赖</w:t>
            </w:r>
          </w:p>
        </w:tc>
        <w:tc>
          <w:tcPr>
            <w:tcW w:type="dxa" w:w="127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依赖负责人最终 RTL 和 A 最终位流；主机测试与交叉编译可以在 Efinity 构建期间并行，板级数据必须来自同一正式候选。</w:t>
            </w:r>
          </w:p>
        </w:tc>
      </w:tr>
      <w:tr>
        <w:tc>
          <w:tcPr>
            <w:tcW w:type="dxa" w:w="1701"/>
            <w:vAlign w:val="center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当日顺序</w:t>
            </w:r>
          </w:p>
        </w:tc>
        <w:tc>
          <w:tcPr>
            <w:tcW w:type="dxa" w:w="127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上午完成主机测试、交叉编译和映像；中午配合冒烟；下午采集 300 帧和 QoS 数据并形成 CSV 与报告。</w:t>
            </w:r>
          </w:p>
        </w:tc>
      </w:tr>
      <w:tr>
        <w:tc>
          <w:tcPr>
            <w:tcW w:type="dxa" w:w="1701"/>
            <w:vAlign w:val="center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当日验收</w:t>
            </w:r>
          </w:p>
        </w:tc>
        <w:tc>
          <w:tcPr>
            <w:tcW w:type="dxa" w:w="127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主机 sanitizer、RV32 交叉编译、板级自检全部通过；断电重启自动进入 Demo，UART 无异常；300 帧 p5 FPS、稳定 Sprite 数、总 underflow、总错误完整；报告包含 Sparse DDR 字节与周期下降、CRC 相同，以及自适应 QoS 的收益和 Render CPU 代价。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</w:rPr>
        <w:t>第三天封版闸门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必须依次通过 scripts/test-efinix-software.ps1、scripts/test-efinix-verilog.ps1、scripts/test-efinix-gpu.ps1；任何一项失败都不得把对应 bit、hex 或验收文档标为最终。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必须记录 Git 提交、Efinity 版本、CPU 主频、GPU DDR 时钟、像素时钟、WNS、资源占用、位流和固件 SHA256；禁止仅保存截图而不保存原始数值。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最终仓库只保留一个正式计划书、冻结源码、测试、生成 RTL、release 产物和三份验收报告；清除未引用临时文件，保留 vendor manifest，不修改官方 CPU 和 DDR3 vendor 源。</w:t>
      </w:r>
    </w:p>
    <w:p>
      <w:pPr>
        <w:pStyle w:val="Heading1"/>
      </w:pPr>
      <w:r>
        <w:rPr>
          <w:rFonts w:ascii="Microsoft YaHei" w:hAnsi="Microsoft YaHei" w:eastAsia="Microsoft YaHei"/>
        </w:rPr>
        <w:t>七 原计划到新计划的完整映射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969"/>
        <w:gridCol w:w="2268"/>
        <w:gridCol w:w="8561"/>
      </w:tblGrid>
      <w:tr>
        <w:trPr>
          <w:tblHeader w:val="true"/>
        </w:trPr>
        <w:tc>
          <w:tcPr>
            <w:tcW w:type="dxa" w:w="3969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原计划</w:t>
            </w:r>
          </w:p>
        </w:tc>
        <w:tc>
          <w:tcPr>
            <w:tcW w:type="dxa" w:w="2268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新计划</w:t>
            </w:r>
          </w:p>
        </w:tc>
        <w:tc>
          <w:tcPr>
            <w:tcW w:type="dxa" w:w="8561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保留的最终结果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52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主负责人第 19 至 20 天；B 第 22 至 23 天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第 1 天</w:t>
            </w:r>
          </w:p>
        </w:tc>
        <w:tc>
          <w:tcPr>
            <w:tcW w:type="dxa" w:w="85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Sparse 合同、pack、decode、blit、驱动、素材、随机测试、Dense Sparse CRC 和 DDR 字节比较。</w:t>
            </w:r>
          </w:p>
        </w:tc>
      </w:tr>
      <w:tr>
        <w:tc>
          <w:tcPr>
            <w:tcW w:type="dxa" w:w="3969"/>
            <w:shd w:fill="F3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52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A 第 20 天及下溢计数接入准备</w:t>
            </w:r>
          </w:p>
        </w:tc>
        <w:tc>
          <w:tcPr>
            <w:tcW w:type="dxa" w:w="2268"/>
            <w:shd w:fill="F3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第 1 天</w:t>
            </w:r>
          </w:p>
        </w:tc>
        <w:tc>
          <w:tcPr>
            <w:tcW w:type="dxa" w:w="8561"/>
            <w:shd w:fill="F3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Dense 混合压力基线、无撕裂、可靠 GPU 域下溢事件。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52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主负责人第 21 至 22 天；B 第 21 天；A 水位接线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第 2 天</w:t>
            </w:r>
          </w:p>
        </w:tc>
        <w:tc>
          <w:tcPr>
            <w:tcW w:type="dxa" w:w="85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自适应 QoS、迟滞与无饥饿、完整系统混合序列、fixed adaptive 收益和代价。</w:t>
            </w:r>
          </w:p>
        </w:tc>
      </w:tr>
      <w:tr>
        <w:tc>
          <w:tcPr>
            <w:tcW w:type="dxa" w:w="3969"/>
            <w:shd w:fill="F3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52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主负责人第 23 至 25 天</w:t>
            </w:r>
          </w:p>
        </w:tc>
        <w:tc>
          <w:tcPr>
            <w:tcW w:type="dxa" w:w="2268"/>
            <w:shd w:fill="F3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第 3 天</w:t>
            </w:r>
          </w:p>
        </w:tc>
        <w:tc>
          <w:tcPr>
            <w:tcW w:type="dxa" w:w="8561"/>
            <w:shd w:fill="F3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split verilog、系统集成、实测调优、干净检出复现和负责人封版。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52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A 第 21 至 25 天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第 3 天</w:t>
            </w:r>
          </w:p>
        </w:tc>
        <w:tc>
          <w:tcPr>
            <w:tcW w:type="dxa" w:w="85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Dense Sparse 显示一致、时序收敛、bit hex route report、30 分钟视频与板级封版。</w:t>
            </w:r>
          </w:p>
        </w:tc>
      </w:tr>
      <w:tr>
        <w:tc>
          <w:tcPr>
            <w:tcW w:type="dxa" w:w="3969"/>
            <w:shd w:fill="F3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52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B 第 24 至 25 天</w:t>
            </w:r>
          </w:p>
        </w:tc>
        <w:tc>
          <w:tcPr>
            <w:tcW w:type="dxa" w:w="2268"/>
            <w:shd w:fill="F3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第 3 天</w:t>
            </w:r>
          </w:p>
        </w:tc>
        <w:tc>
          <w:tcPr>
            <w:tcW w:type="dxa" w:w="8561"/>
            <w:shd w:fill="F3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3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elf bin hex、断电启动、UART、300 帧基准、最终固件和软件封版。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/>
        </w:rPr>
        <w:t>八 最终完成定义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基础命令和高阶挑战全部存在：Fill、Copy、Color Key、Global Alpha、Sparse Blit、PRESENT、非阻塞 16 项命令队列、双缓冲垂直消隐换帧、性能计数和中断。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三项创新均有可复现实证：带 tag 的非阻塞批量提交，透明跳过 Sparse 格式及 DDR 流量下降，基于 FIFO 水位的自适应 DDR QoS 及收益代价对比。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官方 Sapphire CPU、DDR3 MT41J128M16JT-125、HDMI Demo 和 BSP 保持复用；未引入自研 CPU。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最终交付的功能、可执行文件、生成 RTL、板级产物、时序资源数据、性能数据和验收证据与原计划要求相同，只把剩余排期压缩为三天。</w:t>
      </w:r>
    </w:p>
    <w:sectPr w:rsidR="00FC693F" w:rsidRPr="0006063C" w:rsidSect="00034616">
      <w:pgSz w:w="15840" w:h="12240" w:orient="landscape"/>
      <w:pgMar w:top="765" w:right="850" w:bottom="765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Efinix 2D 图像渲染三人三天收尾开发计划书</dc:title>
  <dc:subject>官方 Demo 复用版后续三天任务与验收</dc:subject>
  <dc:creator>python-docx</dc:creator>
  <cp:keywords>Efinix, 2D GPU, Chisel, Verilog, RISC V, HDMI, DDR3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