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dcie6ge2t84" w:id="0"/>
      <w:bookmarkEnd w:id="0"/>
      <w:r w:rsidDel="00000000" w:rsidR="00000000" w:rsidRPr="00000000">
        <w:rPr>
          <w:b w:val="1"/>
          <w:bCs w:val="1"/>
          <w:sz w:val="46"/>
          <w:szCs w:val="46"/>
          <w:rtl w:val="0"/>
        </w:rPr>
        <w:t xml:space="preserve">El Triángulo del Litio y la Competencia Estratégica por los Minerales Críticos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6ldztcrb607" w:id="1"/>
      <w:bookmarkEnd w:id="1"/>
      <w:r w:rsidDel="00000000" w:rsidR="00000000" w:rsidRPr="00000000">
        <w:rPr>
          <w:b w:val="1"/>
          <w:bCs w:val="1"/>
          <w:sz w:val="34"/>
          <w:szCs w:val="34"/>
          <w:rtl w:val="0"/>
        </w:rPr>
        <w:t xml:space="preserve">Mapa de actores, operaciones y vectores de influencia en Chile, Argentina y Bolivia</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bt90o0h9qv79" w:id="2"/>
      <w:bookmarkEnd w:id="2"/>
      <w:r w:rsidDel="00000000" w:rsidR="00000000" w:rsidRPr="00000000">
        <w:rPr>
          <w:b w:val="1"/>
          <w:bCs w:val="1"/>
          <w:color w:val="000000"/>
          <w:sz w:val="26"/>
          <w:szCs w:val="26"/>
          <w:rtl w:val="0"/>
        </w:rPr>
        <w:t xml:space="preserve">Fortius Strategic Intelligence Brief</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34"/>
          <w:szCs w:val="34"/>
        </w:rPr>
      </w:pPr>
      <w:r w:rsidDel="00000000" w:rsidR="00000000" w:rsidRPr="00000000">
        <w:rPr>
          <w:b w:val="1"/>
          <w:bCs w:val="1"/>
          <w:sz w:val="34"/>
          <w:szCs w:val="34"/>
          <w:rtl w:val="0"/>
        </w:rPr>
        <w:t xml:space="preserve">Resumen Ejecutivo</w:t>
      </w:r>
    </w:p>
    <w:p w:rsidR="00000000" w:rsidDel="00000000" w:rsidP="00000000" w:rsidRDefault="00000000" w:rsidRPr="00000000" w14:paraId="00000006">
      <w:pPr>
        <w:spacing w:after="240" w:before="240" w:lineRule="auto"/>
        <w:rPr/>
      </w:pPr>
      <w:r w:rsidDel="00000000" w:rsidR="00000000" w:rsidRPr="00000000">
        <w:rPr>
          <w:rtl w:val="0"/>
        </w:rPr>
        <w:t xml:space="preserve">El Triángulo del Litio se ha consolidado como uno de los principales escenarios de competencia geoeconómica entre China y Estados Unidos en el hemisferio occidental. Sin embargo, analizar esta pugna únicamente en términos abstractos de “influencia” o “alineamiento” resulta insuficiente. La verdadera correlación de fuerzas se observa en el control efectivo de proyectos concretos, participaciones accionariales, contratos de suministro, financiación industrial, procesamiento asociado y capacidad para condicionar la evolución regulatoria de los países productores.</w:t>
      </w:r>
    </w:p>
    <w:p w:rsidR="00000000" w:rsidDel="00000000" w:rsidP="00000000" w:rsidRDefault="00000000" w:rsidRPr="00000000" w14:paraId="00000007">
      <w:pPr>
        <w:spacing w:after="240" w:before="240" w:lineRule="auto"/>
        <w:rPr/>
      </w:pPr>
      <w:r w:rsidDel="00000000" w:rsidR="00000000" w:rsidRPr="00000000">
        <w:rPr>
          <w:rtl w:val="0"/>
        </w:rPr>
        <w:t xml:space="preserve">China ha logrado una posición dominante no solo porque invierte más, sino porque ha asegurado presencia temprana en los principales activos estratégicos del Triángulo mediante una combinación de adquisiciones directas, financiación preferencial, integración vertical y alianzas con actores estatales y subnacionales. El reto para Occidente no es meramente diplomático: consiste en desplazar, diluir o contener una arquitectura de influencia ya parcialmente consolidada sobre el terreno.</w:t>
      </w:r>
    </w:p>
    <w:p w:rsidR="00000000" w:rsidDel="00000000" w:rsidP="00000000" w:rsidRDefault="00000000" w:rsidRPr="00000000" w14:paraId="00000008">
      <w:pPr>
        <w:rPr>
          <w:b w:val="1"/>
          <w:bCs w:val="1"/>
          <w:sz w:val="34"/>
          <w:szCs w:val="34"/>
        </w:rPr>
      </w:pPr>
      <w:r w:rsidDel="00000000" w:rsidR="00000000" w:rsidRPr="00000000">
        <w:rPr>
          <w:b w:val="1"/>
          <w:bCs w:val="1"/>
          <w:sz w:val="34"/>
          <w:szCs w:val="34"/>
          <w:rtl w:val="0"/>
        </w:rPr>
        <w:t xml:space="preserve">Chile: mercado cerrado, alta concentración y disputa por los activos de nueva generación</w:t>
      </w:r>
    </w:p>
    <w:p w:rsidR="00000000" w:rsidDel="00000000" w:rsidP="00000000" w:rsidRDefault="00000000" w:rsidRPr="00000000" w14:paraId="00000009">
      <w:pPr>
        <w:spacing w:after="240" w:before="240" w:lineRule="auto"/>
        <w:rPr/>
      </w:pPr>
      <w:r w:rsidDel="00000000" w:rsidR="00000000" w:rsidRPr="00000000">
        <w:rPr>
          <w:rtl w:val="0"/>
        </w:rPr>
        <w:t xml:space="preserve">Chile continúa siendo el activo institucionalmente más valioso del Triángulo del Litio, pero también uno de los mercados más cerrados y concentrados. El núcleo de la producción nacional sigue girando en torno al </w:t>
      </w:r>
      <w:r w:rsidDel="00000000" w:rsidR="00000000" w:rsidRPr="00000000">
        <w:rPr>
          <w:b w:val="1"/>
          <w:bCs w:val="1"/>
          <w:rtl w:val="0"/>
        </w:rPr>
        <w:t xml:space="preserve">Salar de Atacama</w:t>
      </w:r>
      <w:r w:rsidDel="00000000" w:rsidR="00000000" w:rsidRPr="00000000">
        <w:rPr>
          <w:rtl w:val="0"/>
        </w:rPr>
        <w:t xml:space="preserve">, controlado fundamentalmente por dos actores: </w:t>
      </w:r>
      <w:r w:rsidDel="00000000" w:rsidR="00000000" w:rsidRPr="00000000">
        <w:rPr>
          <w:b w:val="1"/>
          <w:bCs w:val="1"/>
          <w:rtl w:val="0"/>
        </w:rPr>
        <w:t xml:space="preserve">SQM</w:t>
      </w:r>
      <w:r w:rsidDel="00000000" w:rsidR="00000000" w:rsidRPr="00000000">
        <w:rPr>
          <w:rtl w:val="0"/>
        </w:rPr>
        <w:t xml:space="preserve"> y </w:t>
      </w:r>
      <w:r w:rsidDel="00000000" w:rsidR="00000000" w:rsidRPr="00000000">
        <w:rPr>
          <w:b w:val="1"/>
          <w:bCs w:val="1"/>
          <w:rtl w:val="0"/>
        </w:rPr>
        <w:t xml:space="preserve">Albemarle</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La evolución reciente más significativa ha sido la reconfiguración del sector en torno al acuerdo entre </w:t>
      </w:r>
      <w:r w:rsidDel="00000000" w:rsidR="00000000" w:rsidRPr="00000000">
        <w:rPr>
          <w:b w:val="1"/>
          <w:bCs w:val="1"/>
          <w:rtl w:val="0"/>
        </w:rPr>
        <w:t xml:space="preserve">Codelco</w:t>
      </w:r>
      <w:r w:rsidDel="00000000" w:rsidR="00000000" w:rsidRPr="00000000">
        <w:rPr>
          <w:rtl w:val="0"/>
        </w:rPr>
        <w:t xml:space="preserve"> y </w:t>
      </w:r>
      <w:r w:rsidDel="00000000" w:rsidR="00000000" w:rsidRPr="00000000">
        <w:rPr>
          <w:b w:val="1"/>
          <w:bCs w:val="1"/>
          <w:rtl w:val="0"/>
        </w:rPr>
        <w:t xml:space="preserve">SQM</w:t>
      </w:r>
      <w:r w:rsidDel="00000000" w:rsidR="00000000" w:rsidRPr="00000000">
        <w:rPr>
          <w:rtl w:val="0"/>
        </w:rPr>
        <w:t xml:space="preserve">, mediante el cual el Estado chileno ha asegurado una participación mayoritaria del 51% en la futura explotación conjunta del Salar de Atacama hasta 2060. Esta operación no solo recentraliza parcialmente el control estatal sobre el principal activo litífero chileno, sino que limita el margen de entrada de nuevos actores internacionales salvo mediante asociación con estructuras auspiciadas por el Estado. </w:t>
      </w:r>
    </w:p>
    <w:p w:rsidR="00000000" w:rsidDel="00000000" w:rsidP="00000000" w:rsidRDefault="00000000" w:rsidRPr="00000000" w14:paraId="0000000B">
      <w:pPr>
        <w:spacing w:after="240" w:before="240" w:lineRule="auto"/>
        <w:rPr/>
      </w:pPr>
      <w:r w:rsidDel="00000000" w:rsidR="00000000" w:rsidRPr="00000000">
        <w:rPr>
          <w:rtl w:val="0"/>
        </w:rPr>
        <w:t xml:space="preserve">Este acuerdo afecta indirectamente a </w:t>
      </w:r>
      <w:r w:rsidDel="00000000" w:rsidR="00000000" w:rsidRPr="00000000">
        <w:rPr>
          <w:b w:val="1"/>
          <w:bCs w:val="1"/>
          <w:rtl w:val="0"/>
        </w:rPr>
        <w:t xml:space="preserve">Tianqi Lithium</w:t>
      </w:r>
      <w:r w:rsidDel="00000000" w:rsidR="00000000" w:rsidRPr="00000000">
        <w:rPr>
          <w:rtl w:val="0"/>
        </w:rPr>
        <w:t xml:space="preserve">, accionista relevante de SQM y principal vector de presencia china indirecta en el sector chileno. Aunque Tianqi trató de impugnar la operación, el diseño de la alianza reduce de facto su capacidad de influencia sobre la gobernanza estratégica del activo.</w:t>
      </w:r>
    </w:p>
    <w:p w:rsidR="00000000" w:rsidDel="00000000" w:rsidP="00000000" w:rsidRDefault="00000000" w:rsidRPr="00000000" w14:paraId="0000000C">
      <w:pPr>
        <w:spacing w:after="240" w:before="240" w:lineRule="auto"/>
        <w:rPr/>
      </w:pPr>
      <w:r w:rsidDel="00000000" w:rsidR="00000000" w:rsidRPr="00000000">
        <w:rPr>
          <w:rtl w:val="0"/>
        </w:rPr>
        <w:t xml:space="preserve">La principal oportunidad de entrada para actores occidentales en Chile se está produciendo en la siguiente generación de activos aún en desarrollo, especialmente en el </w:t>
      </w:r>
      <w:r w:rsidDel="00000000" w:rsidR="00000000" w:rsidRPr="00000000">
        <w:rPr>
          <w:b w:val="1"/>
          <w:bCs w:val="1"/>
          <w:rtl w:val="0"/>
        </w:rPr>
        <w:t xml:space="preserve">Salar de Maricunga</w:t>
      </w:r>
      <w:r w:rsidDel="00000000" w:rsidR="00000000" w:rsidRPr="00000000">
        <w:rPr>
          <w:rtl w:val="0"/>
        </w:rPr>
        <w:t xml:space="preserve">, donde </w:t>
      </w:r>
      <w:r w:rsidDel="00000000" w:rsidR="00000000" w:rsidRPr="00000000">
        <w:rPr>
          <w:b w:val="1"/>
          <w:bCs w:val="1"/>
          <w:rtl w:val="0"/>
        </w:rPr>
        <w:t xml:space="preserve">Rio Tinto</w:t>
      </w:r>
      <w:r w:rsidDel="00000000" w:rsidR="00000000" w:rsidRPr="00000000">
        <w:rPr>
          <w:rtl w:val="0"/>
        </w:rPr>
        <w:t xml:space="preserve"> ha acordado invertir hasta 900 millones de dólares para adquirir una participación del 49,99% en el proyecto liderado por Codelco. Esta operación convierte a Rio Tinto en el principal contrapeso occidental emergente en el sector chileno y marca uno de los movimientos estratégicos más relevantes de los últimos años en el país. </w:t>
      </w:r>
    </w:p>
    <w:p w:rsidR="00000000" w:rsidDel="00000000" w:rsidP="00000000" w:rsidRDefault="00000000" w:rsidRPr="00000000" w14:paraId="0000000D">
      <w:pPr>
        <w:spacing w:after="240" w:before="240" w:lineRule="auto"/>
        <w:rPr/>
      </w:pPr>
      <w:r w:rsidDel="00000000" w:rsidR="00000000" w:rsidRPr="00000000">
        <w:rPr>
          <w:rtl w:val="0"/>
        </w:rPr>
        <w:t xml:space="preserve">No obstante, el problema estructural chileno sigue siendo regulatorio. La combinación de control estatal, complejidad ambiental, judicialización administrativa y lentitud burocrática limita enormemente la velocidad con la que nuevos actores pueden reposicionarse.</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Conclusión operativa:</w:t>
      </w:r>
      <w:r w:rsidDel="00000000" w:rsidR="00000000" w:rsidRPr="00000000">
        <w:rPr>
          <w:rtl w:val="0"/>
        </w:rPr>
        <w:t xml:space="preserve"> Chile ofrece calidad institucional y activos de primer nivel, pero el acceso real al mercado está crecientemente mediado por el Estado. El desplazamiento de influencia china no vendrá por liberalización competitiva, sino mediante alianzas estatales selectivas con actores occidentales.</w:t>
      </w:r>
    </w:p>
    <w:p w:rsidR="00000000" w:rsidDel="00000000" w:rsidP="00000000" w:rsidRDefault="00000000" w:rsidRPr="00000000" w14:paraId="0000000F">
      <w:pPr>
        <w:rPr>
          <w:b w:val="1"/>
          <w:bCs w:val="1"/>
          <w:sz w:val="34"/>
          <w:szCs w:val="34"/>
        </w:rPr>
      </w:pPr>
      <w:r w:rsidDel="00000000" w:rsidR="00000000" w:rsidRPr="00000000">
        <w:rPr>
          <w:b w:val="1"/>
          <w:bCs w:val="1"/>
          <w:sz w:val="34"/>
          <w:szCs w:val="34"/>
          <w:rtl w:val="0"/>
        </w:rPr>
        <w:t xml:space="preserve">Argentina: principal frente de expansión china y última gran ventana occidental</w:t>
      </w:r>
    </w:p>
    <w:p w:rsidR="00000000" w:rsidDel="00000000" w:rsidP="00000000" w:rsidRDefault="00000000" w:rsidRPr="00000000" w14:paraId="00000010">
      <w:pPr>
        <w:spacing w:after="240" w:before="240" w:lineRule="auto"/>
        <w:rPr/>
      </w:pPr>
      <w:r w:rsidDel="00000000" w:rsidR="00000000" w:rsidRPr="00000000">
        <w:rPr>
          <w:rtl w:val="0"/>
        </w:rPr>
        <w:t xml:space="preserve">Argentina constituye hoy el principal campo de batalla operativo del Triángulo del Litio. Su estructura federal, la autonomía de las provincias mineras y un marco relativamente favorable a la inversión privada han generado el entorno más abierto para la competencia entre capital chino y occidental.</w:t>
      </w:r>
    </w:p>
    <w:p w:rsidR="00000000" w:rsidDel="00000000" w:rsidP="00000000" w:rsidRDefault="00000000" w:rsidRPr="00000000" w14:paraId="00000011">
      <w:pPr>
        <w:spacing w:after="240" w:before="240" w:lineRule="auto"/>
        <w:rPr/>
      </w:pPr>
      <w:r w:rsidDel="00000000" w:rsidR="00000000" w:rsidRPr="00000000">
        <w:rPr>
          <w:rtl w:val="0"/>
        </w:rPr>
        <w:t xml:space="preserve">Las provincias clave son </w:t>
      </w:r>
      <w:r w:rsidDel="00000000" w:rsidR="00000000" w:rsidRPr="00000000">
        <w:rPr>
          <w:b w:val="1"/>
          <w:bCs w:val="1"/>
          <w:rtl w:val="0"/>
        </w:rPr>
        <w:t xml:space="preserve">Catamarca, Salta y Jujuy</w:t>
      </w:r>
      <w:r w:rsidDel="00000000" w:rsidR="00000000" w:rsidRPr="00000000">
        <w:rPr>
          <w:rtl w:val="0"/>
        </w:rPr>
        <w:t xml:space="preserve">, con creciente importancia también de </w:t>
      </w:r>
      <w:r w:rsidDel="00000000" w:rsidR="00000000" w:rsidRPr="00000000">
        <w:rPr>
          <w:b w:val="1"/>
          <w:bCs w:val="1"/>
          <w:rtl w:val="0"/>
        </w:rPr>
        <w:t xml:space="preserve">La Rioja</w:t>
      </w:r>
      <w:r w:rsidDel="00000000" w:rsidR="00000000" w:rsidRPr="00000000">
        <w:rPr>
          <w:rtl w:val="0"/>
        </w:rPr>
        <w:t xml:space="preserve">. En conjunto, Argentina cuenta ya con aproximadamente siete operaciones activas y cerca de cuarenta proyectos en distintas fases de desarrollo. </w:t>
      </w:r>
    </w:p>
    <w:p w:rsidR="00000000" w:rsidDel="00000000" w:rsidP="00000000" w:rsidRDefault="00000000" w:rsidRPr="00000000" w14:paraId="00000012">
      <w:pPr>
        <w:spacing w:after="240" w:before="240" w:lineRule="auto"/>
        <w:rPr/>
      </w:pPr>
      <w:r w:rsidDel="00000000" w:rsidR="00000000" w:rsidRPr="00000000">
        <w:rPr>
          <w:rtl w:val="0"/>
        </w:rPr>
        <w:t xml:space="preserve">China ha asegurado una presencia dominante en múltiples activos mediante participaciones directas, acuerdos de suministro comprometido y financiación industrial:</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Ganfeng Lithium</w:t>
      </w:r>
      <w:r w:rsidDel="00000000" w:rsidR="00000000" w:rsidRPr="00000000">
        <w:rPr>
          <w:rtl w:val="0"/>
        </w:rPr>
        <w:t xml:space="preserve"> es uno de los actores chinos más relevantes del país. Controla o participa en varios activos estratégicos, incluyendo posiciones significativas en proyectos de salmuera y estructuras conjuntas con operadores locales e internacionales.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Zijin Mining</w:t>
      </w:r>
      <w:r w:rsidDel="00000000" w:rsidR="00000000" w:rsidRPr="00000000">
        <w:rPr>
          <w:rtl w:val="0"/>
        </w:rPr>
        <w:t xml:space="preserve"> también ha incrementado su presencia, consolidándose como uno de los principales vehículos de penetración china en minería argentina.</w:t>
      </w:r>
    </w:p>
    <w:p w:rsidR="00000000" w:rsidDel="00000000" w:rsidP="00000000" w:rsidRDefault="00000000" w:rsidRPr="00000000" w14:paraId="00000015">
      <w:pPr>
        <w:spacing w:after="240" w:before="240" w:lineRule="auto"/>
        <w:rPr/>
      </w:pPr>
      <w:r w:rsidDel="00000000" w:rsidR="00000000" w:rsidRPr="00000000">
        <w:rPr>
          <w:rtl w:val="0"/>
        </w:rPr>
        <w:t xml:space="preserve">La respuesta occidental más importante ha venido de </w:t>
      </w:r>
      <w:r w:rsidDel="00000000" w:rsidR="00000000" w:rsidRPr="00000000">
        <w:rPr>
          <w:b w:val="1"/>
          <w:bCs w:val="1"/>
          <w:rtl w:val="0"/>
        </w:rPr>
        <w:t xml:space="preserve">Rio Tinto</w:t>
      </w:r>
      <w:r w:rsidDel="00000000" w:rsidR="00000000" w:rsidRPr="00000000">
        <w:rPr>
          <w:rtl w:val="0"/>
        </w:rPr>
        <w:t xml:space="preserve">, cuya adquisición de </w:t>
      </w:r>
      <w:r w:rsidDel="00000000" w:rsidR="00000000" w:rsidRPr="00000000">
        <w:rPr>
          <w:b w:val="1"/>
          <w:bCs w:val="1"/>
          <w:rtl w:val="0"/>
        </w:rPr>
        <w:t xml:space="preserve">Arcadium Lithium</w:t>
      </w:r>
      <w:r w:rsidDel="00000000" w:rsidR="00000000" w:rsidRPr="00000000">
        <w:rPr>
          <w:rtl w:val="0"/>
        </w:rPr>
        <w:t xml:space="preserve"> y posterior aseguramiento de aproximadamente 1.180 millones de dólares de financiación para el proyecto </w:t>
      </w:r>
      <w:r w:rsidDel="00000000" w:rsidR="00000000" w:rsidRPr="00000000">
        <w:rPr>
          <w:b w:val="1"/>
          <w:bCs w:val="1"/>
          <w:rtl w:val="0"/>
        </w:rPr>
        <w:t xml:space="preserve">Rincón</w:t>
      </w:r>
      <w:r w:rsidDel="00000000" w:rsidR="00000000" w:rsidRPr="00000000">
        <w:rPr>
          <w:rtl w:val="0"/>
        </w:rPr>
        <w:t xml:space="preserve"> en Salta representa el mayor movimiento occidental reciente en el país. El objetivo declarado es alcanzar una producción anual cercana a las 60.000 toneladas de carbonato de litio grado batería. </w:t>
      </w:r>
    </w:p>
    <w:p w:rsidR="00000000" w:rsidDel="00000000" w:rsidP="00000000" w:rsidRDefault="00000000" w:rsidRPr="00000000" w14:paraId="00000016">
      <w:pPr>
        <w:spacing w:after="240" w:before="240" w:lineRule="auto"/>
        <w:rPr/>
      </w:pPr>
      <w:r w:rsidDel="00000000" w:rsidR="00000000" w:rsidRPr="00000000">
        <w:rPr>
          <w:rtl w:val="0"/>
        </w:rPr>
        <w:t xml:space="preserve">Este movimiento sitúa a Rio Tinto como el principal competidor occidental estructural frente a Ganfeng y otros actores chinos en Argentina.</w:t>
      </w:r>
    </w:p>
    <w:p w:rsidR="00000000" w:rsidDel="00000000" w:rsidP="00000000" w:rsidRDefault="00000000" w:rsidRPr="00000000" w14:paraId="00000017">
      <w:pPr>
        <w:spacing w:after="240" w:before="240" w:lineRule="auto"/>
        <w:rPr/>
      </w:pPr>
      <w:r w:rsidDel="00000000" w:rsidR="00000000" w:rsidRPr="00000000">
        <w:rPr>
          <w:rtl w:val="0"/>
        </w:rPr>
        <w:t xml:space="preserve">No obstante, Buenos Aires ha dejado claro que la creciente cooperación con Washington en materia de minerales críticos no implica exclusión de capital chino. Argentina busca maximizar competencia entre oferentes, no alinearse exclusivamente con un bloque.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Conclusión operativa:</w:t>
      </w:r>
      <w:r w:rsidDel="00000000" w:rsidR="00000000" w:rsidRPr="00000000">
        <w:rPr>
          <w:rtl w:val="0"/>
        </w:rPr>
        <w:t xml:space="preserve"> Argentina es el único teatro donde aún es posible un reequilibrio sustancial de la correlación de fuerzas, pero la ventana se estrecha rápidamente conforme se consolidan las estructuras accionariales y contractuales de los proyectos actualmente en desarrollo.</w:t>
      </w:r>
    </w:p>
    <w:p w:rsidR="00000000" w:rsidDel="00000000" w:rsidP="00000000" w:rsidRDefault="00000000" w:rsidRPr="00000000" w14:paraId="00000019">
      <w:pPr>
        <w:rPr>
          <w:b w:val="1"/>
          <w:bCs w:val="1"/>
          <w:sz w:val="34"/>
          <w:szCs w:val="34"/>
        </w:rPr>
      </w:pPr>
      <w:r w:rsidDel="00000000" w:rsidR="00000000" w:rsidRPr="00000000">
        <w:rPr>
          <w:b w:val="1"/>
          <w:bCs w:val="1"/>
          <w:sz w:val="34"/>
          <w:szCs w:val="34"/>
          <w:rtl w:val="0"/>
        </w:rPr>
        <w:t xml:space="preserve">Bolivia: reserva estratégica capturada parcialmente por actores revisionistas</w:t>
      </w:r>
    </w:p>
    <w:p w:rsidR="00000000" w:rsidDel="00000000" w:rsidP="00000000" w:rsidRDefault="00000000" w:rsidRPr="00000000" w14:paraId="0000001A">
      <w:pPr>
        <w:spacing w:after="240" w:before="240" w:lineRule="auto"/>
        <w:rPr/>
      </w:pPr>
      <w:r w:rsidDel="00000000" w:rsidR="00000000" w:rsidRPr="00000000">
        <w:rPr>
          <w:rtl w:val="0"/>
        </w:rPr>
        <w:t xml:space="preserve">Bolivia alberga algunos de los mayores recursos geológicos de litio del mundo, particularmente en el </w:t>
      </w:r>
      <w:r w:rsidDel="00000000" w:rsidR="00000000" w:rsidRPr="00000000">
        <w:rPr>
          <w:b w:val="1"/>
          <w:bCs w:val="1"/>
          <w:rtl w:val="0"/>
        </w:rPr>
        <w:t xml:space="preserve">Salar de Uyuni</w:t>
      </w:r>
      <w:r w:rsidDel="00000000" w:rsidR="00000000" w:rsidRPr="00000000">
        <w:rPr>
          <w:rtl w:val="0"/>
        </w:rPr>
        <w:t xml:space="preserve">, pero sigue siendo el componente menos desarrollado y más políticamente complejo del Triángulo.</w:t>
      </w:r>
    </w:p>
    <w:p w:rsidR="00000000" w:rsidDel="00000000" w:rsidP="00000000" w:rsidRDefault="00000000" w:rsidRPr="00000000" w14:paraId="0000001B">
      <w:pPr>
        <w:spacing w:after="240" w:before="240" w:lineRule="auto"/>
        <w:rPr/>
      </w:pPr>
      <w:r w:rsidDel="00000000" w:rsidR="00000000" w:rsidRPr="00000000">
        <w:rPr>
          <w:rtl w:val="0"/>
        </w:rPr>
        <w:t xml:space="preserve">El gobierno boliviano ha firmado acuerdos de gran relevancia con el consorcio chino </w:t>
      </w:r>
      <w:r w:rsidDel="00000000" w:rsidR="00000000" w:rsidRPr="00000000">
        <w:rPr>
          <w:b w:val="1"/>
          <w:bCs w:val="1"/>
          <w:rtl w:val="0"/>
        </w:rPr>
        <w:t xml:space="preserve">CBC</w:t>
      </w:r>
      <w:r w:rsidDel="00000000" w:rsidR="00000000" w:rsidRPr="00000000">
        <w:rPr>
          <w:rtl w:val="0"/>
        </w:rPr>
        <w:t xml:space="preserve">, vinculado a </w:t>
      </w:r>
      <w:r w:rsidDel="00000000" w:rsidR="00000000" w:rsidRPr="00000000">
        <w:rPr>
          <w:b w:val="1"/>
          <w:bCs w:val="1"/>
          <w:rtl w:val="0"/>
        </w:rPr>
        <w:t xml:space="preserve">CATL</w:t>
      </w:r>
      <w:r w:rsidDel="00000000" w:rsidR="00000000" w:rsidRPr="00000000">
        <w:rPr>
          <w:rtl w:val="0"/>
        </w:rPr>
        <w:t xml:space="preserve">, así como con la rusa </w:t>
      </w:r>
      <w:r w:rsidDel="00000000" w:rsidR="00000000" w:rsidRPr="00000000">
        <w:rPr>
          <w:b w:val="1"/>
          <w:bCs w:val="1"/>
          <w:rtl w:val="0"/>
        </w:rPr>
        <w:t xml:space="preserve">Uranium One</w:t>
      </w:r>
      <w:r w:rsidDel="00000000" w:rsidR="00000000" w:rsidRPr="00000000">
        <w:rPr>
          <w:rtl w:val="0"/>
        </w:rPr>
        <w:t xml:space="preserve">, para el desarrollo de plantas de extracción directa y procesamiento industrial. Uno de los acuerdos con el consorcio chino contempla compromisos de inversión cercanos a los 1.000 millones de dólares. </w:t>
      </w:r>
    </w:p>
    <w:p w:rsidR="00000000" w:rsidDel="00000000" w:rsidP="00000000" w:rsidRDefault="00000000" w:rsidRPr="00000000" w14:paraId="0000001C">
      <w:pPr>
        <w:spacing w:after="240" w:before="240" w:lineRule="auto"/>
        <w:rPr/>
      </w:pPr>
      <w:r w:rsidDel="00000000" w:rsidR="00000000" w:rsidRPr="00000000">
        <w:rPr>
          <w:rtl w:val="0"/>
        </w:rPr>
        <w:t xml:space="preserve">Sin embargo, estos proyectos siguen enfrentando importantes obstáculos:</w:t>
      </w:r>
    </w:p>
    <w:p w:rsidR="00000000" w:rsidDel="00000000" w:rsidP="00000000" w:rsidRDefault="00000000" w:rsidRPr="00000000" w14:paraId="0000001D">
      <w:pPr>
        <w:spacing w:after="240" w:before="240" w:lineRule="auto"/>
        <w:rPr/>
      </w:pPr>
      <w:r w:rsidDel="00000000" w:rsidR="00000000" w:rsidRPr="00000000">
        <w:rPr>
          <w:rtl w:val="0"/>
        </w:rPr>
        <w:t xml:space="preserve">La aprobación legislativa continúa siendo incierta.</w:t>
      </w:r>
    </w:p>
    <w:p w:rsidR="00000000" w:rsidDel="00000000" w:rsidP="00000000" w:rsidRDefault="00000000" w:rsidRPr="00000000" w14:paraId="0000001E">
      <w:pPr>
        <w:spacing w:after="240" w:before="240" w:lineRule="auto"/>
        <w:rPr/>
      </w:pPr>
      <w:r w:rsidDel="00000000" w:rsidR="00000000" w:rsidRPr="00000000">
        <w:rPr>
          <w:rtl w:val="0"/>
        </w:rPr>
        <w:t xml:space="preserve">La conflictividad territorial y comunitaria es elevada.</w:t>
      </w:r>
    </w:p>
    <w:p w:rsidR="00000000" w:rsidDel="00000000" w:rsidP="00000000" w:rsidRDefault="00000000" w:rsidRPr="00000000" w14:paraId="0000001F">
      <w:pPr>
        <w:spacing w:after="240" w:before="240" w:lineRule="auto"/>
        <w:rPr/>
      </w:pPr>
      <w:r w:rsidDel="00000000" w:rsidR="00000000" w:rsidRPr="00000000">
        <w:rPr>
          <w:rtl w:val="0"/>
        </w:rPr>
        <w:t xml:space="preserve">La inestabilidad política boliviana introduce alto riesgo de reversión o renegociación contractual.</w:t>
      </w:r>
    </w:p>
    <w:p w:rsidR="00000000" w:rsidDel="00000000" w:rsidP="00000000" w:rsidRDefault="00000000" w:rsidRPr="00000000" w14:paraId="00000020">
      <w:pPr>
        <w:spacing w:after="240" w:before="240" w:lineRule="auto"/>
        <w:rPr/>
      </w:pPr>
      <w:r w:rsidDel="00000000" w:rsidR="00000000" w:rsidRPr="00000000">
        <w:rPr>
          <w:rtl w:val="0"/>
        </w:rPr>
        <w:t xml:space="preserve">A diferencia de Argentina, Bolivia no es hoy un mercado de competencia abierta, sino más bien un espacio de posicionamiento estratégico de largo plazo donde China y Rusia aceptan operar bajo niveles de incertidumbre que la mayoría de actores occidentales consideran prohibitivos.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Conclusión operativa:</w:t>
      </w:r>
      <w:r w:rsidDel="00000000" w:rsidR="00000000" w:rsidRPr="00000000">
        <w:rPr>
          <w:rtl w:val="0"/>
        </w:rPr>
        <w:t xml:space="preserve"> Bolivia es estratégicamente relevante por reservas, pero no constituye hoy el principal campo de maniobra occidental. Más que desplazar actores chinos, el objetivo plausible sería impedir una consolidación plena y aprovechar futuras ventanas de apertura política.</w:t>
      </w:r>
    </w:p>
    <w:p w:rsidR="00000000" w:rsidDel="00000000" w:rsidP="00000000" w:rsidRDefault="00000000" w:rsidRPr="00000000" w14:paraId="00000022">
      <w:pPr>
        <w:rPr>
          <w:b w:val="1"/>
          <w:bCs w:val="1"/>
          <w:sz w:val="34"/>
          <w:szCs w:val="34"/>
        </w:rPr>
      </w:pPr>
      <w:r w:rsidDel="00000000" w:rsidR="00000000" w:rsidRPr="00000000">
        <w:rPr>
          <w:b w:val="1"/>
          <w:bCs w:val="1"/>
          <w:sz w:val="34"/>
          <w:szCs w:val="34"/>
          <w:rtl w:val="0"/>
        </w:rPr>
        <w:t xml:space="preserve">Mecanismos reales de influencia y presión china</w:t>
      </w:r>
    </w:p>
    <w:p w:rsidR="00000000" w:rsidDel="00000000" w:rsidP="00000000" w:rsidRDefault="00000000" w:rsidRPr="00000000" w14:paraId="00000023">
      <w:pPr>
        <w:spacing w:after="240" w:before="240" w:lineRule="auto"/>
        <w:rPr/>
      </w:pPr>
      <w:r w:rsidDel="00000000" w:rsidR="00000000" w:rsidRPr="00000000">
        <w:rPr>
          <w:rtl w:val="0"/>
        </w:rPr>
        <w:t xml:space="preserve">La superioridad competitiva china no se limita a la mera disponibilidad de capital.</w:t>
      </w:r>
    </w:p>
    <w:p w:rsidR="00000000" w:rsidDel="00000000" w:rsidP="00000000" w:rsidRDefault="00000000" w:rsidRPr="00000000" w14:paraId="00000024">
      <w:pPr>
        <w:spacing w:after="240" w:before="240" w:lineRule="auto"/>
        <w:rPr/>
      </w:pPr>
      <w:r w:rsidDel="00000000" w:rsidR="00000000" w:rsidRPr="00000000">
        <w:rPr>
          <w:rtl w:val="0"/>
        </w:rPr>
        <w:t xml:space="preserve">En primer lugar, China ofrece </w:t>
      </w:r>
      <w:r w:rsidDel="00000000" w:rsidR="00000000" w:rsidRPr="00000000">
        <w:rPr>
          <w:b w:val="1"/>
          <w:bCs w:val="1"/>
          <w:rtl w:val="0"/>
        </w:rPr>
        <w:t xml:space="preserve">paquetes integrales de financiación, ingeniería, equipamiento e infraestructura</w:t>
      </w:r>
      <w:r w:rsidDel="00000000" w:rsidR="00000000" w:rsidRPr="00000000">
        <w:rPr>
          <w:rtl w:val="0"/>
        </w:rPr>
        <w:t xml:space="preserve">, lo que reduce enormemente los costes de coordinación para gobiernos y operadores locales.</w:t>
      </w:r>
    </w:p>
    <w:p w:rsidR="00000000" w:rsidDel="00000000" w:rsidP="00000000" w:rsidRDefault="00000000" w:rsidRPr="00000000" w14:paraId="00000025">
      <w:pPr>
        <w:spacing w:after="240" w:before="240" w:lineRule="auto"/>
        <w:rPr/>
      </w:pPr>
      <w:r w:rsidDel="00000000" w:rsidR="00000000" w:rsidRPr="00000000">
        <w:rPr>
          <w:rtl w:val="0"/>
        </w:rPr>
        <w:t xml:space="preserve">En segundo lugar, sus empresas muestran una disposición significativamente mayor a operar en entornos de gobernanza débil. Se mencionó específicamente el caso de un operador chino en </w:t>
      </w:r>
      <w:r w:rsidDel="00000000" w:rsidR="00000000" w:rsidRPr="00000000">
        <w:rPr>
          <w:b w:val="1"/>
          <w:bCs w:val="1"/>
          <w:rtl w:val="0"/>
        </w:rPr>
        <w:t xml:space="preserve">Catamarca</w:t>
      </w:r>
      <w:r w:rsidDel="00000000" w:rsidR="00000000" w:rsidRPr="00000000">
        <w:rPr>
          <w:rtl w:val="0"/>
        </w:rPr>
        <w:t xml:space="preserve"> que habría asumido sanciones regulatorias o ambientales como simple coste de negocio sin alterar sustancialmente su operativa. </w:t>
      </w:r>
    </w:p>
    <w:p w:rsidR="00000000" w:rsidDel="00000000" w:rsidP="00000000" w:rsidRDefault="00000000" w:rsidRPr="00000000" w14:paraId="00000026">
      <w:pPr>
        <w:spacing w:after="240" w:before="240" w:lineRule="auto"/>
        <w:rPr/>
      </w:pPr>
      <w:r w:rsidDel="00000000" w:rsidR="00000000" w:rsidRPr="00000000">
        <w:rPr>
          <w:rtl w:val="0"/>
        </w:rPr>
        <w:t xml:space="preserve">En tercer lugar, los actores chinos pueden ofrecer horizontes temporales mucho más largos, al estar menos condicionados por presiones de rentabilidad inmediata.</w:t>
      </w:r>
    </w:p>
    <w:p w:rsidR="00000000" w:rsidDel="00000000" w:rsidP="00000000" w:rsidRDefault="00000000" w:rsidRPr="00000000" w14:paraId="00000027">
      <w:pPr>
        <w:spacing w:after="240" w:before="240" w:lineRule="auto"/>
        <w:rPr/>
      </w:pPr>
      <w:r w:rsidDel="00000000" w:rsidR="00000000" w:rsidRPr="00000000">
        <w:rPr>
          <w:rtl w:val="0"/>
        </w:rPr>
        <w:t xml:space="preserve">Finalmente, su menor exposición a restricciones reputacionales o de cumplimiento normativo les otorga ventaja comparativa en mercados opacos.</w:t>
      </w:r>
    </w:p>
    <w:p w:rsidR="00000000" w:rsidDel="00000000" w:rsidP="00000000" w:rsidRDefault="00000000" w:rsidRPr="00000000" w14:paraId="00000028">
      <w:pPr>
        <w:rPr>
          <w:b w:val="1"/>
          <w:bCs w:val="1"/>
          <w:sz w:val="34"/>
          <w:szCs w:val="34"/>
        </w:rPr>
      </w:pPr>
      <w:r w:rsidDel="00000000" w:rsidR="00000000" w:rsidRPr="00000000">
        <w:rPr>
          <w:b w:val="1"/>
          <w:bCs w:val="1"/>
          <w:sz w:val="34"/>
          <w:szCs w:val="34"/>
          <w:rtl w:val="0"/>
        </w:rPr>
        <w:t xml:space="preserve">Cómo podría producirse el desplazamiento de actores chinos</w:t>
      </w:r>
    </w:p>
    <w:p w:rsidR="00000000" w:rsidDel="00000000" w:rsidP="00000000" w:rsidRDefault="00000000" w:rsidRPr="00000000" w14:paraId="00000029">
      <w:pPr>
        <w:spacing w:after="240" w:before="240" w:lineRule="auto"/>
        <w:rPr/>
      </w:pPr>
      <w:r w:rsidDel="00000000" w:rsidR="00000000" w:rsidRPr="00000000">
        <w:rPr>
          <w:rtl w:val="0"/>
        </w:rPr>
        <w:t xml:space="preserve">El desplazamiento de influencia china no se producirá mediante expulsiones abruptas ni prohibiciones generalizadas. Los escenarios realistas son de contención gradual y dilución competitiva.</w:t>
      </w:r>
    </w:p>
    <w:p w:rsidR="00000000" w:rsidDel="00000000" w:rsidP="00000000" w:rsidRDefault="00000000" w:rsidRPr="00000000" w14:paraId="0000002A">
      <w:pPr>
        <w:spacing w:after="240" w:before="240" w:lineRule="auto"/>
        <w:rPr/>
      </w:pPr>
      <w:r w:rsidDel="00000000" w:rsidR="00000000" w:rsidRPr="00000000">
        <w:rPr>
          <w:rtl w:val="0"/>
        </w:rPr>
        <w:t xml:space="preserve">En </w:t>
      </w:r>
      <w:r w:rsidDel="00000000" w:rsidR="00000000" w:rsidRPr="00000000">
        <w:rPr>
          <w:b w:val="1"/>
          <w:bCs w:val="1"/>
          <w:rtl w:val="0"/>
        </w:rPr>
        <w:t xml:space="preserve">Chile</w:t>
      </w:r>
      <w:r w:rsidDel="00000000" w:rsidR="00000000" w:rsidRPr="00000000">
        <w:rPr>
          <w:rtl w:val="0"/>
        </w:rPr>
        <w:t xml:space="preserve">, el principal mecanismo será la sustitución parcial de influencia china indirecta mediante creciente control estatal y asociación preferente con actores occidentales, como ejemplifica el caso Codelco–Rio Tinto en Maricunga.</w:t>
      </w:r>
    </w:p>
    <w:p w:rsidR="00000000" w:rsidDel="00000000" w:rsidP="00000000" w:rsidRDefault="00000000" w:rsidRPr="00000000" w14:paraId="0000002B">
      <w:pPr>
        <w:spacing w:after="240" w:before="240" w:lineRule="auto"/>
        <w:rPr/>
      </w:pPr>
      <w:r w:rsidDel="00000000" w:rsidR="00000000" w:rsidRPr="00000000">
        <w:rPr>
          <w:rtl w:val="0"/>
        </w:rPr>
        <w:t xml:space="preserve">En </w:t>
      </w:r>
      <w:r w:rsidDel="00000000" w:rsidR="00000000" w:rsidRPr="00000000">
        <w:rPr>
          <w:b w:val="1"/>
          <w:bCs w:val="1"/>
          <w:rtl w:val="0"/>
        </w:rPr>
        <w:t xml:space="preserve">Argentina</w:t>
      </w:r>
      <w:r w:rsidDel="00000000" w:rsidR="00000000" w:rsidRPr="00000000">
        <w:rPr>
          <w:rtl w:val="0"/>
        </w:rPr>
        <w:t xml:space="preserve">, el desplazamiento dependerá de quién capture la siguiente ola de proyectos todavía no plenamente adjudicados o financiados. Aquí la velocidad de ejecución occidental será determinante.</w:t>
      </w:r>
    </w:p>
    <w:p w:rsidR="00000000" w:rsidDel="00000000" w:rsidP="00000000" w:rsidRDefault="00000000" w:rsidRPr="00000000" w14:paraId="0000002C">
      <w:pPr>
        <w:spacing w:after="240" w:before="240" w:lineRule="auto"/>
        <w:rPr/>
      </w:pPr>
      <w:r w:rsidDel="00000000" w:rsidR="00000000" w:rsidRPr="00000000">
        <w:rPr>
          <w:rtl w:val="0"/>
        </w:rPr>
        <w:t xml:space="preserve">En </w:t>
      </w:r>
      <w:r w:rsidDel="00000000" w:rsidR="00000000" w:rsidRPr="00000000">
        <w:rPr>
          <w:b w:val="1"/>
          <w:bCs w:val="1"/>
          <w:rtl w:val="0"/>
        </w:rPr>
        <w:t xml:space="preserve">Bolivia</w:t>
      </w:r>
      <w:r w:rsidDel="00000000" w:rsidR="00000000" w:rsidRPr="00000000">
        <w:rPr>
          <w:rtl w:val="0"/>
        </w:rPr>
        <w:t xml:space="preserve">, el objetivo más realista no es desplazar a China a corto plazo, sino impedir que consolide irreversiblemente su posición antes de una eventual apertura futura.</w:t>
      </w:r>
    </w:p>
    <w:p w:rsidR="00000000" w:rsidDel="00000000" w:rsidP="00000000" w:rsidRDefault="00000000" w:rsidRPr="00000000" w14:paraId="0000002D">
      <w:pPr>
        <w:rPr>
          <w:b w:val="1"/>
          <w:bCs w:val="1"/>
          <w:sz w:val="34"/>
          <w:szCs w:val="34"/>
        </w:rPr>
      </w:pPr>
      <w:r w:rsidDel="00000000" w:rsidR="00000000" w:rsidRPr="00000000">
        <w:rPr>
          <w:b w:val="1"/>
          <w:bCs w:val="1"/>
          <w:sz w:val="34"/>
          <w:szCs w:val="34"/>
          <w:rtl w:val="0"/>
        </w:rPr>
        <w:t xml:space="preserve">Valoración Final</w:t>
      </w:r>
    </w:p>
    <w:p w:rsidR="00000000" w:rsidDel="00000000" w:rsidP="00000000" w:rsidRDefault="00000000" w:rsidRPr="00000000" w14:paraId="0000002E">
      <w:pPr>
        <w:spacing w:after="240" w:before="240" w:lineRule="auto"/>
        <w:rPr/>
      </w:pPr>
      <w:r w:rsidDel="00000000" w:rsidR="00000000" w:rsidRPr="00000000">
        <w:rPr>
          <w:rtl w:val="0"/>
        </w:rPr>
        <w:t xml:space="preserve">El Triángulo del Litio no es simplemente una región rica en recursos naturales: es uno de los principales escenarios donde se está decidiendo la arquitectura futura de las cadenas de suministro estratégicas globales.</w:t>
      </w:r>
    </w:p>
    <w:p w:rsidR="00000000" w:rsidDel="00000000" w:rsidP="00000000" w:rsidRDefault="00000000" w:rsidRPr="00000000" w14:paraId="0000002F">
      <w:pPr>
        <w:spacing w:after="240" w:before="240" w:lineRule="auto"/>
        <w:rPr/>
      </w:pPr>
      <w:r w:rsidDel="00000000" w:rsidR="00000000" w:rsidRPr="00000000">
        <w:rPr>
          <w:rtl w:val="0"/>
        </w:rPr>
        <w:t xml:space="preserve">China ha logrado asegurarse posiciones relevantes en prácticamente todos los frentes clave, especialmente en Argentina y Bolivia, mientras mantiene influencia indirecta significativa en Chile.</w:t>
      </w:r>
    </w:p>
    <w:p w:rsidR="00000000" w:rsidDel="00000000" w:rsidP="00000000" w:rsidRDefault="00000000" w:rsidRPr="00000000" w14:paraId="00000030">
      <w:pPr>
        <w:spacing w:after="240" w:before="240" w:lineRule="auto"/>
        <w:rPr/>
      </w:pPr>
      <w:r w:rsidDel="00000000" w:rsidR="00000000" w:rsidRPr="00000000">
        <w:rPr>
          <w:rtl w:val="0"/>
        </w:rPr>
        <w:t xml:space="preserve">Occidente conserva opciones reales de reposicionamiento, pero ya no parte de una situación de neutralidad. Debe competir desde una posición de retraso.</w:t>
      </w:r>
    </w:p>
    <w:p w:rsidR="00000000" w:rsidDel="00000000" w:rsidP="00000000" w:rsidRDefault="00000000" w:rsidRPr="00000000" w14:paraId="00000031">
      <w:pPr>
        <w:spacing w:after="240" w:before="240" w:lineRule="auto"/>
        <w:rPr/>
      </w:pPr>
      <w:r w:rsidDel="00000000" w:rsidR="00000000" w:rsidRPr="00000000">
        <w:rPr>
          <w:rtl w:val="0"/>
        </w:rPr>
        <w:t xml:space="preserve">La próxima fase de la disputa no se decidirá en conferencias diplomáticas ni en declaraciones sobre “friend-shoring”, sino en quién financie, construya, opere y controle los próximos grandes proyectos de litio que entren en producción en el Cono Sur.</w:t>
      </w:r>
    </w:p>
    <w:p w:rsidR="00000000" w:rsidDel="00000000" w:rsidP="00000000" w:rsidRDefault="00000000" w:rsidRPr="00000000" w14:paraId="00000032">
      <w:pPr>
        <w:spacing w:after="240" w:before="240" w:lineRule="auto"/>
        <w:rPr/>
      </w:pPr>
      <w:r w:rsidDel="00000000" w:rsidR="00000000" w:rsidRPr="00000000">
        <w:rPr>
          <w:rtl w:val="0"/>
        </w:rPr>
        <w:t xml:space="preserve">En este terreno, la pregunta decisiva no es si América Latina desea diversificar sus alianzas. La pregunta es si Occidente está dispuesto a competir con la seriedad, rapidez y escala necesarias para hacerlo posible.</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