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rFonts w:ascii="Roboto" w:cs="Roboto" w:eastAsia="Roboto" w:hAnsi="Roboto"/>
          <w:sz w:val="80"/>
          <w:szCs w:val="80"/>
        </w:rPr>
      </w:pPr>
      <w:bookmarkStart w:colFirst="0" w:colLast="0" w:name="_482d534lvgvi" w:id="0"/>
      <w:bookmarkEnd w:id="0"/>
      <w:r w:rsidDel="00000000" w:rsidR="00000000" w:rsidRPr="00000000">
        <w:rPr>
          <w:rFonts w:ascii="Roboto" w:cs="Roboto" w:eastAsia="Roboto" w:hAnsi="Roboto"/>
          <w:sz w:val="80"/>
          <w:szCs w:val="80"/>
          <w:rtl w:val="0"/>
        </w:rPr>
        <w:t xml:space="preserve">SOBRE «ADVOCACY» Y «LOBBY»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20/01/2024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Autor: Juan Ángel Soto Gómez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lineRule="auto"/>
        <w:jc w:val="both"/>
        <w:rPr>
          <w:rFonts w:ascii="Roboto Serif" w:cs="Roboto Serif" w:eastAsia="Roboto Serif" w:hAnsi="Roboto Serif"/>
          <w:color w:val="7a7a7a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En el mundo del Tercer Sector, las ONGs y las empresas sociales, los términos «defensa» (advocacy) y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son a menudo utilizados de manera intercambiable, aunque representan actividades distintas. Ambos son cruciales para impulsar cambios e influir en políticas públicas, pero entender sus diferencias es clave para navegar con acierto el mapa regulatorio y ético.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88" w:lineRule="auto"/>
        <w:jc w:val="both"/>
        <w:rPr>
          <w:rFonts w:ascii="Roboto Serif" w:cs="Roboto Serif" w:eastAsia="Roboto Serif" w:hAnsi="Roboto Serif"/>
          <w:color w:val="7a7a7a"/>
          <w:sz w:val="26"/>
          <w:szCs w:val="26"/>
        </w:rPr>
      </w:pPr>
      <w:bookmarkStart w:colFirst="0" w:colLast="0" w:name="_pueqqhwielrx" w:id="1"/>
      <w:bookmarkEnd w:id="1"/>
      <w:r w:rsidDel="00000000" w:rsidR="00000000" w:rsidRPr="00000000">
        <w:rPr>
          <w:rFonts w:ascii="Roboto Serif" w:cs="Roboto Serif" w:eastAsia="Roboto Serif" w:hAnsi="Roboto Serif"/>
          <w:color w:val="7a7a7a"/>
          <w:sz w:val="26"/>
          <w:szCs w:val="26"/>
          <w:rtl w:val="0"/>
        </w:rPr>
        <w:t xml:space="preserve">¿Qué es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6"/>
          <w:szCs w:val="26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220" w:lineRule="auto"/>
        <w:jc w:val="both"/>
        <w:rPr>
          <w:rFonts w:ascii="Roboto Serif" w:cs="Roboto Serif" w:eastAsia="Roboto Serif" w:hAnsi="Roboto Serif"/>
          <w:color w:val="7a7a7a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es un término amplio que abarca una gama de actividades destinadas a influir en la percepción pública, políticas y leyes de una manera que represente los valores y objetivos de una organización. Incluye educar al público, crear conciencia y construir apoyo para una causa o tema específico.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puede tomar muchas formas, incluyendo discursos públicos, publicación de investigaciones, organización comunitaria y campañas mediáticas. La esencia del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es crear un cambio en la opinión pública y fomentar un cambio social.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88" w:lineRule="auto"/>
        <w:jc w:val="both"/>
        <w:rPr>
          <w:rFonts w:ascii="Roboto Serif" w:cs="Roboto Serif" w:eastAsia="Roboto Serif" w:hAnsi="Roboto Serif"/>
          <w:i w:val="1"/>
          <w:iCs w:val="1"/>
          <w:color w:val="7a7a7a"/>
          <w:sz w:val="26"/>
          <w:szCs w:val="26"/>
        </w:rPr>
      </w:pPr>
      <w:bookmarkStart w:colFirst="0" w:colLast="0" w:name="_k3cvjlddbcek" w:id="2"/>
      <w:bookmarkEnd w:id="2"/>
      <w:r w:rsidDel="00000000" w:rsidR="00000000" w:rsidRPr="00000000">
        <w:rPr>
          <w:rFonts w:ascii="Roboto Serif" w:cs="Roboto Serif" w:eastAsia="Roboto Serif" w:hAnsi="Roboto Serif"/>
          <w:color w:val="7a7a7a"/>
          <w:sz w:val="26"/>
          <w:szCs w:val="26"/>
          <w:rtl w:val="0"/>
        </w:rPr>
        <w:t xml:space="preserve">Principales características del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6"/>
          <w:szCs w:val="26"/>
          <w:rtl w:val="0"/>
        </w:rPr>
        <w:t xml:space="preserve">advocacy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7a7a7a"/>
          <w:sz w:val="24"/>
          <w:szCs w:val="24"/>
          <w:rtl w:val="0"/>
        </w:rPr>
        <w:t xml:space="preserve">Naturaleza educativa: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a menudo implica diseminar información y educar al público o a los tomadores de decisiones sobre un tema o causa particular.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7a7a7a"/>
          <w:sz w:val="24"/>
          <w:szCs w:val="24"/>
          <w:rtl w:val="0"/>
        </w:rPr>
        <w:t xml:space="preserve">Amplio alcance: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puede abordar una amplia gama de problemas públicos, sin llamar directamente a una acción legislativa específica.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7a7a7a"/>
          <w:sz w:val="24"/>
          <w:szCs w:val="24"/>
          <w:rtl w:val="0"/>
        </w:rPr>
        <w:t xml:space="preserve">Centrada en la comunidad: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generalmente implica movilizar el apoyo comunitario (ej. ciudadano) y empoderar a los individuos para tomar acción colectiva.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88" w:lineRule="auto"/>
        <w:jc w:val="both"/>
        <w:rPr>
          <w:rFonts w:ascii="Roboto Serif" w:cs="Roboto Serif" w:eastAsia="Roboto Serif" w:hAnsi="Roboto Serif"/>
          <w:color w:val="7a7a7a"/>
          <w:sz w:val="26"/>
          <w:szCs w:val="26"/>
        </w:rPr>
      </w:pPr>
      <w:bookmarkStart w:colFirst="0" w:colLast="0" w:name="_71wz951r6yho" w:id="3"/>
      <w:bookmarkEnd w:id="3"/>
      <w:r w:rsidDel="00000000" w:rsidR="00000000" w:rsidRPr="00000000">
        <w:rPr>
          <w:rFonts w:ascii="Roboto Serif" w:cs="Roboto Serif" w:eastAsia="Roboto Serif" w:hAnsi="Roboto Serif"/>
          <w:color w:val="7a7a7a"/>
          <w:sz w:val="26"/>
          <w:szCs w:val="26"/>
          <w:rtl w:val="0"/>
        </w:rPr>
        <w:t xml:space="preserve">¿Qué es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6"/>
          <w:szCs w:val="26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F">
      <w:pPr>
        <w:spacing w:after="220" w:lineRule="auto"/>
        <w:jc w:val="both"/>
        <w:rPr>
          <w:rFonts w:ascii="Roboto Serif" w:cs="Roboto Serif" w:eastAsia="Roboto Serif" w:hAnsi="Roboto Serif"/>
          <w:color w:val="7a7a7a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, por otro lado, es una forma más específica de «defensa». Supone una interacción directa con los legisladores, empleados públicos, etc. En definitiva, con los expertos en política pública o los tomadores de decisión política.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puede ser realizado por lobistas profesionales, miembros de la organización o incluso voluntarios e incluye actividades como reunirse con legisladores, testificar ante comités gubernamentales y escribir cartas o hacer llamadas telefónicas sobre trámites legislativos específicos.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88" w:lineRule="auto"/>
        <w:jc w:val="both"/>
        <w:rPr>
          <w:rFonts w:ascii="Roboto Serif" w:cs="Roboto Serif" w:eastAsia="Roboto Serif" w:hAnsi="Roboto Serif"/>
          <w:i w:val="1"/>
          <w:iCs w:val="1"/>
          <w:color w:val="7a7a7a"/>
          <w:sz w:val="26"/>
          <w:szCs w:val="26"/>
        </w:rPr>
      </w:pPr>
      <w:bookmarkStart w:colFirst="0" w:colLast="0" w:name="_iumxk5cla0mg" w:id="4"/>
      <w:bookmarkEnd w:id="4"/>
      <w:r w:rsidDel="00000000" w:rsidR="00000000" w:rsidRPr="00000000">
        <w:rPr>
          <w:rFonts w:ascii="Roboto Serif" w:cs="Roboto Serif" w:eastAsia="Roboto Serif" w:hAnsi="Roboto Serif"/>
          <w:color w:val="7a7a7a"/>
          <w:sz w:val="26"/>
          <w:szCs w:val="26"/>
          <w:rtl w:val="0"/>
        </w:rPr>
        <w:t xml:space="preserve">Principales características del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6"/>
          <w:szCs w:val="26"/>
          <w:rtl w:val="0"/>
        </w:rPr>
        <w:t xml:space="preserve">lobby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7a7a7a"/>
          <w:sz w:val="24"/>
          <w:szCs w:val="24"/>
          <w:rtl w:val="0"/>
        </w:rPr>
        <w:t xml:space="preserve">Enfocado en la legislación: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tiene como objetivo específico influir en la aprobación, derrota o modificación de la legislación.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7a7a7a"/>
          <w:sz w:val="24"/>
          <w:szCs w:val="24"/>
          <w:rtl w:val="0"/>
        </w:rPr>
        <w:t xml:space="preserve">Interacción directa: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supone la interacción directa con los formuladores de políticas o su personal.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7a7a7a"/>
          <w:sz w:val="24"/>
          <w:szCs w:val="24"/>
          <w:rtl w:val="0"/>
        </w:rPr>
        <w:t xml:space="preserve">Actividad regulada: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en muchos países, las actividades de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están sujetas a requisitos legales específicos, incluyendo su registro, determinados estándares de transparencia y publicidad de sus actividades, etc.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88" w:lineRule="auto"/>
        <w:jc w:val="both"/>
        <w:rPr>
          <w:rFonts w:ascii="Roboto Serif" w:cs="Roboto Serif" w:eastAsia="Roboto Serif" w:hAnsi="Roboto Serif"/>
          <w:color w:val="7a7a7a"/>
          <w:sz w:val="26"/>
          <w:szCs w:val="26"/>
        </w:rPr>
      </w:pPr>
      <w:bookmarkStart w:colFirst="0" w:colLast="0" w:name="_pvj29tsjngi7" w:id="5"/>
      <w:bookmarkEnd w:id="5"/>
      <w:r w:rsidDel="00000000" w:rsidR="00000000" w:rsidRPr="00000000">
        <w:rPr>
          <w:rFonts w:ascii="Roboto Serif" w:cs="Roboto Serif" w:eastAsia="Roboto Serif" w:hAnsi="Roboto Serif"/>
          <w:color w:val="7a7a7a"/>
          <w:sz w:val="26"/>
          <w:szCs w:val="26"/>
          <w:rtl w:val="0"/>
        </w:rPr>
        <w:t xml:space="preserve">¿Y el Tercer Sector?</w:t>
      </w:r>
    </w:p>
    <w:p w:rsidR="00000000" w:rsidDel="00000000" w:rsidP="00000000" w:rsidRDefault="00000000" w:rsidRPr="00000000" w14:paraId="00000015">
      <w:pPr>
        <w:spacing w:after="220" w:lineRule="auto"/>
        <w:jc w:val="both"/>
        <w:rPr>
          <w:rFonts w:ascii="Roboto Serif" w:cs="Roboto Serif" w:eastAsia="Roboto Serif" w:hAnsi="Roboto Serif"/>
          <w:color w:val="7a7a7a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Para las ONGs y empresas sociales, es crucial entender las implicaciones legales del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. En muchas jurisdicciones hay una regulación estricta que gobierna la actividad de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, especialmente para organizaciones con estatus caritativo. Estas organizaciones deben navegar estas reglas cuidadosamente para mantener su régimen jurídico exento de impuestos o que permita desgravaciones fiscales a sus donantes.</w:t>
      </w:r>
    </w:p>
    <w:p w:rsidR="00000000" w:rsidDel="00000000" w:rsidP="00000000" w:rsidRDefault="00000000" w:rsidRPr="00000000" w14:paraId="00000016">
      <w:pPr>
        <w:spacing w:after="220" w:lineRule="auto"/>
        <w:jc w:val="both"/>
        <w:rPr>
          <w:rFonts w:ascii="Roboto Serif" w:cs="Roboto Serif" w:eastAsia="Roboto Serif" w:hAnsi="Roboto Serif"/>
          <w:color w:val="7a7a7a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En general, existe una línea muy fina entre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como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, pero las organizaciones desarrollar una actividad efectiva que separe ambos campos a través del desarrollo de una estrategia clara y formando bien a sus cuadros. En cuanto a la estrategia, las organizaciones deben comprender sus objetivos y saber cómo lograrlos mejor, ya sea a través de una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más amplia o un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dirigido a un interlocutor específico. Con respecto a la formación, resulta fundamental que las organizaciones se aseguren de que su equipo entiende la diferencia entre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, y conoce los límites legales de este último. </w:t>
      </w:r>
    </w:p>
    <w:p w:rsidR="00000000" w:rsidDel="00000000" w:rsidP="00000000" w:rsidRDefault="00000000" w:rsidRPr="00000000" w14:paraId="00000017">
      <w:pPr>
        <w:spacing w:after="220" w:lineRule="auto"/>
        <w:jc w:val="both"/>
        <w:rPr>
          <w:rFonts w:ascii="Roboto Serif" w:cs="Roboto Serif" w:eastAsia="Roboto Serif" w:hAnsi="Roboto Serif"/>
          <w:color w:val="7a7a7a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Finalmente, hay una ‘prueba del algodón’ definitiva para distinguir entre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desde el punto de vista o posición de las organizaciones del Tercer Sector. A saber: quién paga y qué misión fundacional se está persiguiendo. En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, será la propia organización de la sociedad civil quien desarrolle una acción en cumplimiento de su misión fundacional, para lo que puede emplear recursos propios o buscar donaciones o patrocinios ad hoc. En cuanto al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, la organización que lleva a cabo esa acción está velando por la misión fundacional de un tercero —a menudo, una empresa del sector privado—, cuyos intereses representa a cambio de una contraprestación dineraria o en especie. En ese sentido, si la actividad tiene o no un ánimo de lucro también es un buen indicador de si estamos ante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88" w:lineRule="auto"/>
        <w:jc w:val="both"/>
        <w:rPr>
          <w:rFonts w:ascii="Roboto Serif" w:cs="Roboto Serif" w:eastAsia="Roboto Serif" w:hAnsi="Roboto Serif"/>
          <w:color w:val="7a7a7a"/>
          <w:sz w:val="26"/>
          <w:szCs w:val="26"/>
        </w:rPr>
      </w:pPr>
      <w:bookmarkStart w:colFirst="0" w:colLast="0" w:name="_rjp3rrvar0aw" w:id="6"/>
      <w:bookmarkEnd w:id="6"/>
      <w:r w:rsidDel="00000000" w:rsidR="00000000" w:rsidRPr="00000000">
        <w:rPr>
          <w:rFonts w:ascii="Roboto Serif" w:cs="Roboto Serif" w:eastAsia="Roboto Serif" w:hAnsi="Roboto Serif"/>
          <w:color w:val="7a7a7a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19">
      <w:pPr>
        <w:spacing w:after="220" w:lineRule="auto"/>
        <w:jc w:val="both"/>
        <w:rPr>
          <w:rFonts w:ascii="Roboto Serif" w:cs="Roboto Serif" w:eastAsia="Roboto Serif" w:hAnsi="Roboto Serif"/>
          <w:color w:val="7a7a7a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Tanto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como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son herramientas poderosas para las ONGs y empresas sociales que buscan efectuar un cambio. Mientras que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advocacy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se centra en esfuerzos educativos más amplios y cambio social, en cumplimiento de la propia misión fundacional y sin un ánimo de lucro, el 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color w:val="7a7a7a"/>
          <w:sz w:val="24"/>
          <w:szCs w:val="24"/>
          <w:rtl w:val="0"/>
        </w:rPr>
        <w:t xml:space="preserve">lobby</w:t>
      </w:r>
      <w:r w:rsidDel="00000000" w:rsidR="00000000" w:rsidRPr="00000000">
        <w:rPr>
          <w:rFonts w:ascii="Roboto Serif" w:cs="Roboto Serif" w:eastAsia="Roboto Serif" w:hAnsi="Roboto Serif"/>
          <w:color w:val="7a7a7a"/>
          <w:sz w:val="24"/>
          <w:szCs w:val="24"/>
          <w:rtl w:val="0"/>
        </w:rPr>
        <w:t xml:space="preserve"> presenta un enfoque dirigido a influir en legislaciones específicas, con ánimo de lucro y llevado a cabo por organizaciones que representan intereses de terceros. Entender la diferencia entre estas dos actividades es esencial para que las organizaciones naveguen efectivamente los requisitos legales existentes y maximicen su impacto.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Serif" w:cs="Roboto Serif" w:eastAsia="Roboto Serif" w:hAnsi="Roboto Serif"/>
        <w:b w:val="0"/>
        <w:bCs w:val="0"/>
        <w:i w:val="0"/>
        <w:iCs w:val="0"/>
        <w:smallCaps w:val="0"/>
        <w:strike w:val="0"/>
        <w:color w:val="7a7a7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 Serif" w:cs="Roboto Serif" w:eastAsia="Roboto Serif" w:hAnsi="Roboto Serif"/>
        <w:b w:val="0"/>
        <w:bCs w:val="0"/>
        <w:i w:val="0"/>
        <w:iCs w:val="0"/>
        <w:smallCaps w:val="0"/>
        <w:strike w:val="0"/>
        <w:color w:val="7a7a7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