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Fonts w:ascii="Arial" w:cs="Arial" w:eastAsia="Arial" w:hAnsi="Arial"/>
          <w:i w:val="1"/>
          <w:iCs w:val="1"/>
          <w:color w:val="888888"/>
          <w:sz w:val="18"/>
          <w:szCs w:val="18"/>
          <w:rtl w:val="0"/>
        </w:rPr>
        <w:t xml:space="preserve">Sociedad Civil  ·  </w:t>
      </w:r>
      <w:r w:rsidDel="00000000" w:rsidR="00000000" w:rsidRPr="00000000">
        <w:rPr>
          <w:i w:val="1"/>
          <w:iCs w:val="1"/>
          <w:color w:val="888888"/>
          <w:sz w:val="18"/>
          <w:szCs w:val="18"/>
          <w:rtl w:val="0"/>
        </w:rPr>
        <w:t xml:space="preserve">Fortius Consulting</w:t>
      </w:r>
      <w:r w:rsidDel="00000000" w:rsidR="00000000" w:rsidRPr="00000000">
        <w:rPr>
          <w:rFonts w:ascii="Arial" w:cs="Arial" w:eastAsia="Arial" w:hAnsi="Arial"/>
          <w:i w:val="1"/>
          <w:iCs w:val="1"/>
          <w:color w:val="888888"/>
          <w:sz w:val="18"/>
          <w:szCs w:val="18"/>
          <w:rtl w:val="0"/>
        </w:rPr>
        <w:t xml:space="preserve">  ·  15 de mayo de 2026</w:t>
      </w:r>
      <w:r w:rsidDel="00000000" w:rsidR="00000000" w:rsidRPr="00000000">
        <w:rPr>
          <w:rtl w:val="0"/>
        </w:rPr>
      </w:r>
    </w:p>
    <w:p w:rsidR="00000000" w:rsidDel="00000000" w:rsidP="00000000" w:rsidRDefault="00000000" w:rsidRPr="00000000" w14:paraId="00000002">
      <w:pPr>
        <w:pBdr>
          <w:bottom w:color="c0392b" w:space="1" w:sz="6" w:val="single"/>
        </w:pBdr>
        <w:spacing w:after="300" w:lineRule="auto"/>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Fonts w:ascii="Arial" w:cs="Arial" w:eastAsia="Arial" w:hAnsi="Arial"/>
          <w:b w:val="1"/>
          <w:bCs w:val="1"/>
          <w:color w:val="1a1a2e"/>
          <w:sz w:val="36"/>
          <w:szCs w:val="36"/>
          <w:rtl w:val="0"/>
        </w:rPr>
        <w:t xml:space="preserve">Gobernanza Estratégica en Harvard: Liderar en medio de la tormenta perfecta</w:t>
      </w:r>
      <w:r w:rsidDel="00000000" w:rsidR="00000000" w:rsidRPr="00000000">
        <w:rPr>
          <w:rtl w:val="0"/>
        </w:rPr>
      </w:r>
    </w:p>
    <w:p w:rsidR="00000000" w:rsidDel="00000000" w:rsidP="00000000" w:rsidRDefault="00000000" w:rsidRPr="00000000" w14:paraId="00000004">
      <w:pPr>
        <w:spacing w:after="120" w:before="200" w:lineRule="auto"/>
        <w:jc w:val="center"/>
        <w:rPr/>
      </w:pPr>
      <w:r w:rsidDel="00000000" w:rsidR="00000000" w:rsidRPr="00000000">
        <w:rPr/>
        <w:drawing>
          <wp:inline distB="0" distT="0" distL="0" distR="0">
            <wp:extent cx="5524500" cy="27622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245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320" w:lineRule="auto"/>
        <w:jc w:val="center"/>
        <w:rPr/>
      </w:pPr>
      <w:r w:rsidDel="00000000" w:rsidR="00000000" w:rsidRPr="00000000">
        <w:rPr>
          <w:rFonts w:ascii="Arial" w:cs="Arial" w:eastAsia="Arial" w:hAnsi="Arial"/>
          <w:i w:val="1"/>
          <w:iCs w:val="1"/>
          <w:color w:val="aaaaaa"/>
          <w:sz w:val="18"/>
          <w:szCs w:val="18"/>
          <w:rtl w:val="0"/>
        </w:rPr>
        <w:t xml:space="preserve">[Imagen destacada]</w:t>
      </w:r>
      <w:r w:rsidDel="00000000" w:rsidR="00000000" w:rsidRPr="00000000">
        <w:rPr>
          <w:rtl w:val="0"/>
        </w:rPr>
      </w:r>
    </w:p>
    <w:p w:rsidR="00000000" w:rsidDel="00000000" w:rsidP="00000000" w:rsidRDefault="00000000" w:rsidRPr="00000000" w14:paraId="00000006">
      <w:pPr>
        <w:spacing w:after="240" w:lineRule="auto"/>
        <w:jc w:val="both"/>
        <w:rPr/>
      </w:pPr>
      <w:r w:rsidDel="00000000" w:rsidR="00000000" w:rsidRPr="00000000">
        <w:rPr>
          <w:rFonts w:ascii="Arial" w:cs="Arial" w:eastAsia="Arial" w:hAnsi="Arial"/>
          <w:sz w:val="24"/>
          <w:szCs w:val="24"/>
          <w:rtl w:val="0"/>
        </w:rPr>
        <w:t xml:space="preserve">Gobernar no es solo supervisar. Es asegurar que los principios de una organización se traduzcan en impacto real sobre la sociedad. Con esa convicción, Fortius Consulting, representada por nuestro responsable de </w:t>
      </w:r>
      <w:r w:rsidDel="00000000" w:rsidR="00000000" w:rsidRPr="00000000">
        <w:rPr>
          <w:rtl w:val="0"/>
        </w:rPr>
        <w:t xml:space="preserve">asuntos públicos, Dídac Sánchez,</w:t>
      </w:r>
      <w:r w:rsidDel="00000000" w:rsidR="00000000" w:rsidRPr="00000000">
        <w:rPr>
          <w:rFonts w:ascii="Arial" w:cs="Arial" w:eastAsia="Arial" w:hAnsi="Arial"/>
          <w:sz w:val="24"/>
          <w:szCs w:val="24"/>
          <w:rtl w:val="0"/>
        </w:rPr>
        <w:t xml:space="preserve"> participó del 19 al 22 de abril en el Harvard Faculty Club en la primera edición de </w:t>
      </w:r>
      <w:r w:rsidDel="00000000" w:rsidR="00000000" w:rsidRPr="00000000">
        <w:rPr>
          <w:rFonts w:ascii="Arial" w:cs="Arial" w:eastAsia="Arial" w:hAnsi="Arial"/>
          <w:b w:val="1"/>
          <w:bCs w:val="1"/>
          <w:sz w:val="24"/>
          <w:szCs w:val="24"/>
          <w:rtl w:val="0"/>
        </w:rPr>
        <w:t xml:space="preserve">"Gobernanza Estratégica: Liderar con visión en medio de la tormenta perfecta"</w:t>
      </w:r>
      <w:r w:rsidDel="00000000" w:rsidR="00000000" w:rsidRPr="00000000">
        <w:rPr>
          <w:rtl w:val="0"/>
        </w:rPr>
        <w:t xml:space="preserve">.</w:t>
      </w:r>
    </w:p>
    <w:p w:rsidR="00000000" w:rsidDel="00000000" w:rsidP="00000000" w:rsidRDefault="00000000" w:rsidRPr="00000000" w14:paraId="00000007">
      <w:pPr>
        <w:spacing w:after="240" w:lineRule="auto"/>
        <w:jc w:val="both"/>
        <w:rPr/>
      </w:pPr>
      <w:r w:rsidDel="00000000" w:rsidR="00000000" w:rsidRPr="00000000">
        <w:rPr>
          <w:rFonts w:ascii="Arial" w:cs="Arial" w:eastAsia="Arial" w:hAnsi="Arial"/>
          <w:sz w:val="24"/>
          <w:szCs w:val="24"/>
          <w:rtl w:val="0"/>
        </w:rPr>
        <w:t xml:space="preserve">La iniciativa, organizada conjuntamente por el Instituto Gobernanza y Sociedad, el Centro de Estudios Financieros ESE Business School Universidad de los Andes y el PAD – Escuela de Dirección de la Universidad de Piura, reunió a directivos de toda la región latinoamericana en un espacio de reflexión de alto nivel. Desde Fortius tuvimos el privilegio de coordinar el encuentro y, sobre todo, de hacer lo que mejor sabemos: acompañar.</w:t>
      </w:r>
      <w:r w:rsidDel="00000000" w:rsidR="00000000" w:rsidRPr="00000000">
        <w:rPr>
          <w:rtl w:val="0"/>
        </w:rPr>
      </w:r>
    </w:p>
    <w:p w:rsidR="00000000" w:rsidDel="00000000" w:rsidP="00000000" w:rsidRDefault="00000000" w:rsidRPr="00000000" w14:paraId="00000008">
      <w:pPr>
        <w:spacing w:after="360" w:lineRule="auto"/>
        <w:jc w:val="both"/>
        <w:rPr/>
      </w:pPr>
      <w:r w:rsidDel="00000000" w:rsidR="00000000" w:rsidRPr="00000000">
        <w:rPr>
          <w:rFonts w:ascii="Arial" w:cs="Arial" w:eastAsia="Arial" w:hAnsi="Arial"/>
          <w:sz w:val="24"/>
          <w:szCs w:val="24"/>
          <w:rtl w:val="0"/>
        </w:rPr>
        <w:t xml:space="preserve">Durante cuatro días, facilitamos un diálogo riguroso entre líderes empresariales e institucionales, enfocado en los desafíos que hoy exigen una mirada nueva. El contexto no era metafórico: la "tormenta perfecta" —la confluencia de presiones económicas, políticas y geopolíticas— es ya el entorno cotidiano en el que operan nuestras organizaciones.</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Fonts w:ascii="Arial" w:cs="Arial" w:eastAsia="Arial" w:hAnsi="Arial"/>
          <w:b w:val="1"/>
          <w:bCs w:val="1"/>
          <w:color w:val="1a1a2e"/>
          <w:sz w:val="28"/>
          <w:szCs w:val="28"/>
          <w:rtl w:val="0"/>
        </w:rPr>
        <w:t xml:space="preserve">¿Qué nos llevamos de estos cuatro días?</w:t>
      </w:r>
      <w:r w:rsidDel="00000000" w:rsidR="00000000" w:rsidRPr="00000000">
        <w:rPr>
          <w:rtl w:val="0"/>
        </w:rPr>
      </w:r>
    </w:p>
    <w:p w:rsidR="00000000" w:rsidDel="00000000" w:rsidP="00000000" w:rsidRDefault="00000000" w:rsidRPr="00000000" w14:paraId="0000000A">
      <w:pPr>
        <w:spacing w:after="240" w:lineRule="auto"/>
        <w:jc w:val="both"/>
        <w:rPr/>
      </w:pPr>
      <w:r w:rsidDel="00000000" w:rsidR="00000000" w:rsidRPr="00000000">
        <w:rPr>
          <w:rFonts w:ascii="Arial" w:cs="Arial" w:eastAsia="Arial" w:hAnsi="Arial"/>
          <w:b w:val="1"/>
          <w:bCs w:val="1"/>
          <w:sz w:val="24"/>
          <w:szCs w:val="24"/>
          <w:rtl w:val="0"/>
        </w:rPr>
        <w:t xml:space="preserve">El fin de los compartimentos estancos. </w:t>
      </w:r>
      <w:r w:rsidDel="00000000" w:rsidR="00000000" w:rsidRPr="00000000">
        <w:rPr>
          <w:rFonts w:ascii="Arial" w:cs="Arial" w:eastAsia="Arial" w:hAnsi="Arial"/>
          <w:sz w:val="24"/>
          <w:szCs w:val="24"/>
          <w:rtl w:val="0"/>
        </w:rPr>
        <w:t xml:space="preserve">Lo económico, lo político y lo geopolítico ya no pueden analizarse por separado. Ampliar el marco de análisis no es una opción intelectual: es la única forma de anticipar el futuro con responsabilidad.</w:t>
      </w:r>
      <w:r w:rsidDel="00000000" w:rsidR="00000000" w:rsidRPr="00000000">
        <w:rPr>
          <w:rtl w:val="0"/>
        </w:rPr>
      </w:r>
    </w:p>
    <w:p w:rsidR="00000000" w:rsidDel="00000000" w:rsidP="00000000" w:rsidRDefault="00000000" w:rsidRPr="00000000" w14:paraId="0000000B">
      <w:pPr>
        <w:spacing w:after="240" w:lineRule="auto"/>
        <w:jc w:val="both"/>
        <w:rPr/>
      </w:pPr>
      <w:r w:rsidDel="00000000" w:rsidR="00000000" w:rsidRPr="00000000">
        <w:rPr>
          <w:rFonts w:ascii="Arial" w:cs="Arial" w:eastAsia="Arial" w:hAnsi="Arial"/>
          <w:b w:val="1"/>
          <w:bCs w:val="1"/>
          <w:sz w:val="24"/>
          <w:szCs w:val="24"/>
          <w:rtl w:val="0"/>
        </w:rPr>
        <w:t xml:space="preserve">La empresa como actor social. </w:t>
      </w:r>
      <w:r w:rsidDel="00000000" w:rsidR="00000000" w:rsidRPr="00000000">
        <w:rPr>
          <w:rFonts w:ascii="Arial" w:cs="Arial" w:eastAsia="Arial" w:hAnsi="Arial"/>
          <w:sz w:val="24"/>
          <w:szCs w:val="24"/>
          <w:rtl w:val="0"/>
        </w:rPr>
        <w:t xml:space="preserve">Gestionar el cambio en entornos complejos requiere directorios que no solo supervisen el presente, sino que lideren con una visión de largo plazo y con una conciencia clara de su responsabilidad ante la sociedad.</w:t>
      </w:r>
      <w:r w:rsidDel="00000000" w:rsidR="00000000" w:rsidRPr="00000000">
        <w:rPr>
          <w:rtl w:val="0"/>
        </w:rPr>
      </w:r>
    </w:p>
    <w:p w:rsidR="00000000" w:rsidDel="00000000" w:rsidP="00000000" w:rsidRDefault="00000000" w:rsidRPr="00000000" w14:paraId="0000000C">
      <w:pPr>
        <w:spacing w:after="120" w:before="200" w:lineRule="auto"/>
        <w:jc w:val="center"/>
        <w:rPr/>
      </w:pPr>
      <w:r w:rsidDel="00000000" w:rsidR="00000000" w:rsidRPr="00000000">
        <w:rPr/>
        <w:drawing>
          <wp:inline distB="0" distT="0" distL="0" distR="0">
            <wp:extent cx="4762500" cy="23812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80" w:lineRule="auto"/>
        <w:jc w:val="center"/>
        <w:rPr/>
      </w:pPr>
      <w:r w:rsidDel="00000000" w:rsidR="00000000" w:rsidRPr="00000000">
        <w:rPr>
          <w:rFonts w:ascii="Arial" w:cs="Arial" w:eastAsia="Arial" w:hAnsi="Arial"/>
          <w:i w:val="1"/>
          <w:iCs w:val="1"/>
          <w:color w:val="aaaaaa"/>
          <w:sz w:val="18"/>
          <w:szCs w:val="18"/>
          <w:rtl w:val="0"/>
        </w:rPr>
        <w:t xml:space="preserve">[Imagen interior]</w:t>
      </w:r>
      <w:r w:rsidDel="00000000" w:rsidR="00000000" w:rsidRPr="00000000">
        <w:rPr>
          <w:rtl w:val="0"/>
        </w:rPr>
      </w:r>
    </w:p>
    <w:p w:rsidR="00000000" w:rsidDel="00000000" w:rsidP="00000000" w:rsidRDefault="00000000" w:rsidRPr="00000000" w14:paraId="0000000E">
      <w:pPr>
        <w:spacing w:after="360" w:lineRule="auto"/>
        <w:jc w:val="both"/>
        <w:rPr/>
      </w:pPr>
      <w:r w:rsidDel="00000000" w:rsidR="00000000" w:rsidRPr="00000000">
        <w:rPr>
          <w:rFonts w:ascii="Arial" w:cs="Arial" w:eastAsia="Arial" w:hAnsi="Arial"/>
          <w:b w:val="1"/>
          <w:bCs w:val="1"/>
          <w:sz w:val="24"/>
          <w:szCs w:val="24"/>
          <w:rtl w:val="0"/>
        </w:rPr>
        <w:t xml:space="preserve">Instituciones fuertes, organizaciones con principios. </w:t>
      </w:r>
      <w:r w:rsidDel="00000000" w:rsidR="00000000" w:rsidRPr="00000000">
        <w:rPr>
          <w:rFonts w:ascii="Arial" w:cs="Arial" w:eastAsia="Arial" w:hAnsi="Arial"/>
          <w:sz w:val="24"/>
          <w:szCs w:val="24"/>
          <w:rtl w:val="0"/>
        </w:rPr>
        <w:t xml:space="preserve">Las instituciones solo son fuertes cuando las organizaciones con principios maximizan su impacto real. Esta edición en Harvard ha sido un paso concreto en esa dirección: consolidar consejos de administración que aprenden, anticipan y actúan con valores.</w:t>
      </w:r>
      <w:r w:rsidDel="00000000" w:rsidR="00000000" w:rsidRPr="00000000">
        <w:rPr>
          <w:rtl w:val="0"/>
        </w:rPr>
      </w:r>
    </w:p>
    <w:p w:rsidR="00000000" w:rsidDel="00000000" w:rsidP="00000000" w:rsidRDefault="00000000" w:rsidRPr="00000000" w14:paraId="0000000F">
      <w:pPr>
        <w:spacing w:after="400" w:lineRule="auto"/>
        <w:jc w:val="both"/>
        <w:rPr/>
      </w:pPr>
      <w:r w:rsidDel="00000000" w:rsidR="00000000" w:rsidRPr="00000000">
        <w:rPr>
          <w:rFonts w:ascii="Arial" w:cs="Arial" w:eastAsia="Arial" w:hAnsi="Arial"/>
          <w:sz w:val="24"/>
          <w:szCs w:val="24"/>
          <w:rtl w:val="0"/>
        </w:rPr>
        <w:t xml:space="preserve">En Fortius trabajamos cada día para que eso sea posible. Queremos agradecer al </w:t>
      </w:r>
      <w:r w:rsidDel="00000000" w:rsidR="00000000" w:rsidRPr="00000000">
        <w:rPr>
          <w:rFonts w:ascii="Arial" w:cs="Arial" w:eastAsia="Arial" w:hAnsi="Arial"/>
          <w:b w:val="1"/>
          <w:bCs w:val="1"/>
          <w:sz w:val="24"/>
          <w:szCs w:val="24"/>
          <w:rtl w:val="0"/>
        </w:rPr>
        <w:t xml:space="preserve">Instituto Gobernanza y Sociedad</w:t>
      </w:r>
      <w:r w:rsidDel="00000000" w:rsidR="00000000" w:rsidRPr="00000000">
        <w:rPr>
          <w:rFonts w:ascii="Arial" w:cs="Arial" w:eastAsia="Arial" w:hAnsi="Arial"/>
          <w:sz w:val="24"/>
          <w:szCs w:val="24"/>
          <w:rtl w:val="0"/>
        </w:rPr>
        <w:t xml:space="preserve"> su confianza al encomendarnos acompañar esta misión. Seguimos.</w:t>
      </w:r>
      <w:r w:rsidDel="00000000" w:rsidR="00000000" w:rsidRPr="00000000">
        <w:rPr>
          <w:rtl w:val="0"/>
        </w:rPr>
      </w:r>
    </w:p>
    <w:p w:rsidR="00000000" w:rsidDel="00000000" w:rsidP="00000000" w:rsidRDefault="00000000" w:rsidRPr="00000000" w14:paraId="00000010">
      <w:pPr>
        <w:pBdr>
          <w:top w:color="dddddd" w:space="1" w:sz="4" w:val="single"/>
        </w:pBdr>
        <w:spacing w:after="160" w:before="200" w:lineRule="auto"/>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i w:val="1"/>
          <w:iCs w:val="1"/>
          <w:color w:val="aaaaaa"/>
          <w:sz w:val="18"/>
          <w:szCs w:val="18"/>
          <w:rtl w:val="0"/>
        </w:rPr>
        <w:t xml:space="preserve">Fortius Consulting  ·  Sociedad Civil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imHheWy+iUDhQzya6b9573c8w==">CgMxLjA4AHIhMWJCaXkyUGhmSG9DenV0QmdIYXEyclI0cGwtUE9lWE15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