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Times New Roman" w:cs="Times New Roman" w:eastAsia="Times New Roman" w:hAnsi="Times New Roman"/>
          <w:b/>
          <w:bCs/>
          <w:sz w:val="44"/>
          <w:szCs w:val="44"/>
        </w:rPr>
        <w:t xml:space="preserve">Volatility-Managed Portfolios</w:t>
      </w:r>
    </w:p>
    <w:p>
      <w:pPr>
        <w:spacing w:after="300"/>
        <w:jc w:val="center"/>
      </w:pPr>
      <w:r>
        <w:rPr>
          <w:rFonts w:ascii="Times New Roman" w:cs="Times New Roman" w:eastAsia="Times New Roman" w:hAnsi="Times New Roman"/>
          <w:b/>
          <w:bCs/>
          <w:sz w:val="44"/>
          <w:szCs w:val="44"/>
        </w:rPr>
        <w:t xml:space="preserve">Using Path-Dependent Volatility</w:t>
      </w:r>
    </w:p>
    <w:p>
      <w:pPr>
        <w:spacing w:after="600"/>
        <w:jc w:val="center"/>
      </w:pPr>
      <w:r>
        <w:rPr>
          <w:rFonts w:ascii="Times New Roman" w:cs="Times New Roman" w:eastAsia="Times New Roman" w:hAnsi="Times New Roman"/>
          <w:b/>
          <w:bCs/>
          <w:sz w:val="32"/>
          <w:szCs w:val="32"/>
        </w:rPr>
        <w:t xml:space="preserve">Dynamic Allocation, Tail Risk Hedging,</w:t>
      </w:r>
    </w:p>
    <w:p>
      <w:pPr>
        <w:spacing w:after="600"/>
        <w:jc w:val="center"/>
      </w:pPr>
      <w:r>
        <w:rPr>
          <w:rFonts w:ascii="Times New Roman" w:cs="Times New Roman" w:eastAsia="Times New Roman" w:hAnsi="Times New Roman"/>
          <w:b/>
          <w:bCs/>
          <w:sz w:val="32"/>
          <w:szCs w:val="32"/>
        </w:rPr>
        <w:t xml:space="preserve">and the Exogenous Volatility Residual</w:t>
      </w:r>
    </w:p>
    <w:p>
      <w:pPr>
        <w:spacing w:after="200"/>
        <w:jc w:val="center"/>
      </w:pPr>
      <w:r>
        <w:rPr>
          <w:rFonts w:ascii="Times New Roman" w:cs="Times New Roman" w:eastAsia="Times New Roman" w:hAnsi="Times New Roman"/>
          <w:sz w:val="24"/>
          <w:szCs w:val="24"/>
        </w:rPr>
        <w:t xml:space="preserve">Fernando [Last Name]</w:t>
      </w:r>
    </w:p>
    <w:p>
      <w:pPr>
        <w:spacing w:after="800"/>
        <w:jc w:val="center"/>
      </w:pPr>
      <w:r>
        <w:rPr>
          <w:rFonts w:ascii="Times New Roman" w:cs="Times New Roman" w:eastAsia="Times New Roman" w:hAnsi="Times New Roman"/>
          <w:i/>
          <w:iCs/>
          <w:sz w:val="24"/>
          <w:szCs w:val="24"/>
        </w:rPr>
        <w:t xml:space="preserve">February 2026</w:t>
      </w:r>
    </w:p>
    <w:p>
      <w:pPr>
        <w:spacing w:after="200"/>
        <w:jc w:val="center"/>
      </w:pPr>
      <w:r>
        <w:rPr>
          <w:rFonts w:ascii="Times New Roman" w:cs="Times New Roman" w:eastAsia="Times New Roman" w:hAnsi="Times New Roman"/>
          <w:b/>
          <w:bCs/>
          <w:sz w:val="24"/>
          <w:szCs w:val="24"/>
        </w:rPr>
        <w:t xml:space="preserve">Abstract</w:t>
      </w:r>
    </w:p>
    <w:p>
      <w:pPr>
        <w:spacing w:after="200" w:line="360"/>
        <w:ind w:left="720" w:right="720"/>
      </w:pPr>
      <w:r>
        <w:rPr>
          <w:rFonts w:ascii="Times New Roman" w:cs="Times New Roman" w:eastAsia="Times New Roman" w:hAnsi="Times New Roman"/>
          <w:sz w:val="24"/>
          <w:szCs w:val="24"/>
        </w:rPr>
        <w:t xml:space="preserve">We extend the path-dependent volatility (PDV) framework of Guyon and Lekeufack (2022) from a descriptive model of VIX dynamics to a prescriptive tool for portfolio risk management. Our primary contribution is a dynamic allocation strategy that adjusts equity exposure inversely to PDV-predicted volatility: when the model forecasts elevated risk, the portfolio shifts from equity to cash, and vice versa. This approach reduces maximum portfolio drawdown by 30–50% relative to buy-and-hold while capturing 70–85% of equity returns, with the improvement concentrated during the periods that matter most—market crises. We further characterize the exogenous volatility residual (the 10–15% of VIX variation unexplained by the price path) as a mean-reverting signal with a 13-day half-life, fat tails, and positive skewness. We explore its use for timing put-option hedges, finding that while the signal correctly identifies cheap insurance windows, the strategy’s efficacy is limited by the mismatch between short-dated option expiry and the timing of actual crashes. The dynamic allocation approach, which requires no options and works for both gradual and sudden drawdowns, emerges as the more robust practical application. Critically, the entire system operates using only freely available equity price data, requiring no options market data subscriptions.</w:t>
      </w:r>
    </w:p>
    <w:p>
      <w:pPr>
        <w:spacing w:after="200"/>
        <w:ind w:left="720" w:right="72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path-dependent volatility, dynamic allocation, volatility targeting, tail risk, VIX prediction, exogenous volatility</w:t>
      </w:r>
    </w:p>
    <w:p>
      <w:pPr>
        <w:spacing w:after="200" w:line="360"/>
        <w:ind w:left="720" w:right="720"/>
      </w:pPr>
      <w:r>
        <w:rPr>
          <w:rFonts w:ascii="Times New Roman" w:cs="Times New Roman" w:eastAsia="Times New Roman" w:hAnsi="Times New Roman"/>
          <w:i/>
          <w:iCs/>
          <w:sz w:val="24"/>
          <w:szCs w:val="24"/>
        </w:rPr>
        <w:t xml:space="preserve">JEL Classification: </w:t>
      </w:r>
      <w:r>
        <w:rPr>
          <w:rFonts w:ascii="Times New Roman" w:cs="Times New Roman" w:eastAsia="Times New Roman" w:hAnsi="Times New Roman"/>
          <w:sz w:val="24"/>
          <w:szCs w:val="24"/>
        </w:rPr>
        <w:t xml:space="preserve">G11, G13, G17, C58</w:t>
      </w:r>
    </w:p>
    <w:p>
      <w:r>
        <w:br w:type="page"/>
      </w:r>
    </w:p>
    <w:p>
      <w:pPr>
        <w:pStyle w:val="Heading1"/>
        <w:spacing w:before="480" w:after="240"/>
      </w:pPr>
      <w:r>
        <w:rPr>
          <w:rFonts w:ascii="Times New Roman" w:cs="Times New Roman" w:eastAsia="Times New Roman" w:hAnsi="Times New Roman"/>
          <w:b/>
          <w:bCs/>
          <w:sz w:val="32"/>
          <w:szCs w:val="32"/>
        </w:rPr>
        <w:t xml:space="preserve">1. Introduction</w:t>
      </w:r>
    </w:p>
    <w:p>
      <w:pPr>
        <w:spacing w:after="200" w:line="360"/>
      </w:pPr>
      <w:r>
        <w:rPr>
          <w:rFonts w:ascii="Times New Roman" w:cs="Times New Roman" w:eastAsia="Times New Roman" w:hAnsi="Times New Roman"/>
          <w:sz w:val="24"/>
          <w:szCs w:val="24"/>
        </w:rPr>
        <w:t xml:space="preserve">Portfolio risk management faces a fundamental tension: the strategies most valuable during crises are most costly during calm markets. Systematic put-buying bleeds 3–5% annually through the variance risk premium (Israelov, 2017). Constant-mix allocations fail to adapt when risk regimes shift. Risk parity, while theoretically elegant, relies on backward-looking volatility estimates that lag regime changes by days or weeks.</w:t>
      </w:r>
    </w:p>
    <w:p>
      <w:pPr>
        <w:spacing w:after="200" w:line="360"/>
      </w:pPr>
      <w:r>
        <w:rPr>
          <w:rFonts w:ascii="Times New Roman" w:cs="Times New Roman" w:eastAsia="Times New Roman" w:hAnsi="Times New Roman"/>
          <w:sz w:val="24"/>
          <w:szCs w:val="24"/>
        </w:rPr>
        <w:t xml:space="preserve">This paper proposes a forward-looking alternative grounded in the path-dependent volatility (PDV) framework of Guyon and Lekeufack (2022). Their key finding—that approximately 90% of VIX variation can be explained by a simple two-feature linear model of the S&amp;P 500 price path—has a powerful practical implication: we can predict tomorrow’s volatility from today’s price history, without any options market data. We exploit this prediction for dynamic portfolio allocation.</w:t>
      </w:r>
    </w:p>
    <w:p>
      <w:pPr>
        <w:spacing w:after="200" w:line="360"/>
      </w:pPr>
      <w:r>
        <w:rPr>
          <w:rFonts w:ascii="Times New Roman" w:cs="Times New Roman" w:eastAsia="Times New Roman" w:hAnsi="Times New Roman"/>
          <w:sz w:val="24"/>
          <w:szCs w:val="24"/>
        </w:rPr>
        <w:t xml:space="preserve">The core mechanism is intuitive. The PDV model’s trend feature captures the leverage effect: negative returns cause volatility to rise, and this relationship is highly predictable via time-shifted power law kernels. When the model detects an accelerating downtrend, predicted volatility rises before the full drawdown materializes, providing a natural de-risking signal. Unlike backward-looking EWMA estimates (which lag by construction), PDV predictions incorporate the nonlinear dependence structure between returns and future volatility.</w:t>
      </w:r>
    </w:p>
    <w:p>
      <w:pPr>
        <w:spacing w:after="200" w:line="360"/>
      </w:pPr>
      <w:r>
        <w:rPr>
          <w:rFonts w:ascii="Times New Roman" w:cs="Times New Roman" w:eastAsia="Times New Roman" w:hAnsi="Times New Roman"/>
          <w:sz w:val="24"/>
          <w:szCs w:val="24"/>
        </w:rPr>
        <w:t xml:space="preserve">Our contributions are threefold. First, we develop a dynamic allocation strategy that adjusts equity exposure as equity_pct = vol_target / predicted_vol, reducing drawdowns by 30–50% while preserving the majority of equity returns. Second, we characterize the exogenous residual—the component of VIX unexplained by the price path—as a tradeable signal with fat tails, positive skewness, and 13-day mean-reversion. Third, we conduct an honest evaluation of put-option hedging timed by this residual, finding that dynamic allocation dominates it as a practical risk management tool.</w:t>
      </w:r>
    </w:p>
    <w:p>
      <w:pPr>
        <w:pStyle w:val="Heading1"/>
        <w:spacing w:before="480" w:after="240"/>
      </w:pPr>
      <w:r>
        <w:rPr>
          <w:rFonts w:ascii="Times New Roman" w:cs="Times New Roman" w:eastAsia="Times New Roman" w:hAnsi="Times New Roman"/>
          <w:b/>
          <w:bCs/>
          <w:sz w:val="32"/>
          <w:szCs w:val="32"/>
        </w:rPr>
        <w:t xml:space="preserve">2. Theoretical Framework</w:t>
      </w:r>
    </w:p>
    <w:p>
      <w:pPr>
        <w:pStyle w:val="Heading2"/>
        <w:spacing w:before="320" w:after="240"/>
      </w:pPr>
      <w:r>
        <w:rPr>
          <w:rFonts w:ascii="Times New Roman" w:cs="Times New Roman" w:eastAsia="Times New Roman" w:hAnsi="Times New Roman"/>
          <w:b/>
          <w:bCs/>
          <w:sz w:val="28"/>
          <w:szCs w:val="28"/>
        </w:rPr>
        <w:t xml:space="preserve">2.1 The PDV Model</w:t>
      </w:r>
    </w:p>
    <w:p>
      <w:pPr>
        <w:spacing w:after="200" w:line="360"/>
      </w:pPr>
      <w:r>
        <w:rPr>
          <w:rFonts w:ascii="Times New Roman" w:cs="Times New Roman" w:eastAsia="Times New Roman" w:hAnsi="Times New Roman"/>
          <w:sz w:val="24"/>
          <w:szCs w:val="24"/>
        </w:rPr>
        <w:t xml:space="preserve">Following Guyon and Lekeufack (2022), instantaneous volatility is modeled as:</w:t>
      </w:r>
    </w:p>
    <w:p>
      <w:pPr>
        <w:spacing w:before="200" w:after="200"/>
        <w:jc w:val="center"/>
      </w:pPr>
      <w:r>
        <w:rPr>
          <w:rFonts w:ascii="Cambria Math" w:cs="Cambria Math" w:eastAsia="Cambria Math" w:hAnsi="Cambria Math"/>
          <w:i/>
          <w:iCs/>
          <w:sz w:val="24"/>
          <w:szCs w:val="24"/>
        </w:rPr>
        <w:t xml:space="preserve">σ(t) = β₀ + β₁ · R₁(t) + β₂ · Σ(t)</w:t>
      </w:r>
    </w:p>
    <w:p>
      <w:pPr>
        <w:spacing w:after="200" w:line="360"/>
      </w:pPr>
      <w:r>
        <w:rPr>
          <w:rFonts w:ascii="Times New Roman" w:cs="Times New Roman" w:eastAsia="Times New Roman" w:hAnsi="Times New Roman"/>
          <w:sz w:val="24"/>
          <w:szCs w:val="24"/>
        </w:rPr>
        <w:t xml:space="preserve">where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is the trend feature (weighted sum of past returns capturing the leverage effect) and Σ is the activity feature (square root of weighted squared returns capturing volatility clustering). Both use time-shifted power law kernels K(τ) = Z</w:t>
      </w:r>
      <w:r>
        <w:rPr>
          <w:rFonts w:ascii="Times New Roman" w:cs="Times New Roman" w:eastAsia="Times New Roman" w:hAnsi="Times New Roman"/>
          <w:sz w:val="24"/>
          <w:szCs w:val="24"/>
        </w:rPr>
        <w:t xml:space="preserve">⁻¹</w:t>
      </w:r>
      <w:r>
        <w:rPr>
          <w:rFonts w:ascii="Times New Roman" w:cs="Times New Roman" w:eastAsia="Times New Roman" w:hAnsi="Times New Roman"/>
          <w:sz w:val="24"/>
          <w:szCs w:val="24"/>
        </w:rPr>
        <w:t xml:space="preserve">(τ + δ)</w:t>
      </w:r>
      <w:r>
        <w:rPr>
          <w:rFonts w:ascii="Times New Roman" w:cs="Times New Roman" w:eastAsia="Times New Roman" w:hAnsi="Times New Roman"/>
          <w:sz w:val="24"/>
          <w:szCs w:val="24"/>
        </w:rPr>
        <w:t xml:space="preserve">⁻ᵅ</w:t>
      </w:r>
      <w:r>
        <w:rPr>
          <w:rFonts w:ascii="Times New Roman" w:cs="Times New Roman" w:eastAsia="Times New Roman" w:hAnsi="Times New Roman"/>
          <w:sz w:val="24"/>
          <w:szCs w:val="24"/>
        </w:rPr>
        <w:t xml:space="preserve"> with calibrated parameters. The published VIX calibration achieves r² ≈ 0.90 in-sample.</w:t>
      </w:r>
    </w:p>
    <w:p>
      <w:pPr>
        <w:spacing w:after="200" w:line="360"/>
      </w:pPr>
      <w:r>
        <w:rPr>
          <w:rFonts w:ascii="Times New Roman" w:cs="Times New Roman" w:eastAsia="Times New Roman" w:hAnsi="Times New Roman"/>
          <w:sz w:val="24"/>
          <w:szCs w:val="24"/>
        </w:rPr>
        <w:t xml:space="preserve">The model’s strength for allocation purposes lies in its asymmetric response: the large negative coefficient on R₁ (β₁ ≈ −24) means that negative return sequences produce sharp, immediate increases in predicted volatility. A 5-day cumulative decline of 3% can raise the PDV prediction by 5–10 vol points—faster than any backward-looking estimator.</w:t>
      </w:r>
    </w:p>
    <w:p>
      <w:pPr>
        <w:pStyle w:val="Heading2"/>
        <w:spacing w:before="320" w:after="240"/>
      </w:pPr>
      <w:r>
        <w:rPr>
          <w:rFonts w:ascii="Times New Roman" w:cs="Times New Roman" w:eastAsia="Times New Roman" w:hAnsi="Times New Roman"/>
          <w:b/>
          <w:bCs/>
          <w:sz w:val="28"/>
          <w:szCs w:val="28"/>
        </w:rPr>
        <w:t xml:space="preserve">2.2 The Exogenous Residual</w:t>
      </w:r>
    </w:p>
    <w:p>
      <w:pPr>
        <w:spacing w:after="200" w:line="360"/>
      </w:pPr>
      <w:r>
        <w:rPr>
          <w:rFonts w:ascii="Times New Roman" w:cs="Times New Roman" w:eastAsia="Times New Roman" w:hAnsi="Times New Roman"/>
          <w:sz w:val="24"/>
          <w:szCs w:val="24"/>
        </w:rPr>
        <w:t xml:space="preserve">We define the residual ratio ε(t) = VIX(t) / σ̂(t). When ε = 1, the options market agrees with the price path. When ε &gt; 1, the market prices exogenous fear beyond what returns justify (geopolitical risk, liquidity stress, event risk). When ε &lt; 1, options are cheap relative to fundamental volatility.</w:t>
      </w:r>
    </w:p>
    <w:p>
      <w:pPr>
        <w:spacing w:after="200" w:line="360"/>
      </w:pPr>
      <w:r>
        <w:rPr>
          <w:rFonts w:ascii="Times New Roman" w:cs="Times New Roman" w:eastAsia="Times New Roman" w:hAnsi="Times New Roman"/>
          <w:sz w:val="24"/>
          <w:szCs w:val="24"/>
        </w:rPr>
        <w:t xml:space="preserve">Empirically over 2000–2026, ε(t) exhibits three key properties. It has fat tails (kurtosis 5–8, extreme readings 5–10× more frequent than Gaussian). It is positively skewed (mean ≈ 1.08, right tail extends to 2.5×, left truncated at ≈0.75), reflecting the asymmetry between fear overshoots and complacency. And it is mean-reverting with a half-life of approximately 13 trading days, with autocorrelation decaying from 0.70 at lag 1 to 0.35 at lag 60.</w:t>
      </w:r>
    </w:p>
    <w:p>
      <w:pPr>
        <w:pStyle w:val="Heading1"/>
        <w:spacing w:before="480" w:after="240"/>
      </w:pPr>
      <w:r>
        <w:rPr>
          <w:rFonts w:ascii="Times New Roman" w:cs="Times New Roman" w:eastAsia="Times New Roman" w:hAnsi="Times New Roman"/>
          <w:b/>
          <w:bCs/>
          <w:sz w:val="32"/>
          <w:szCs w:val="32"/>
        </w:rPr>
        <w:t xml:space="preserve">3. Strategy I: Dynamic Volatility-Targeted Allocation</w:t>
      </w:r>
    </w:p>
    <w:p>
      <w:pPr>
        <w:pStyle w:val="Heading2"/>
        <w:spacing w:before="320" w:after="240"/>
      </w:pPr>
      <w:r>
        <w:rPr>
          <w:rFonts w:ascii="Times New Roman" w:cs="Times New Roman" w:eastAsia="Times New Roman" w:hAnsi="Times New Roman"/>
          <w:b/>
          <w:bCs/>
          <w:sz w:val="28"/>
          <w:szCs w:val="28"/>
        </w:rPr>
        <w:t xml:space="preserve">3.1 Design</w:t>
      </w:r>
    </w:p>
    <w:p>
      <w:pPr>
        <w:spacing w:after="200" w:line="360"/>
      </w:pPr>
      <w:r>
        <w:rPr>
          <w:rFonts w:ascii="Times New Roman" w:cs="Times New Roman" w:eastAsia="Times New Roman" w:hAnsi="Times New Roman"/>
          <w:sz w:val="24"/>
          <w:szCs w:val="24"/>
        </w:rPr>
        <w:t xml:space="preserve">The allocation rule is:</w:t>
      </w:r>
    </w:p>
    <w:p>
      <w:pPr>
        <w:spacing w:before="200" w:after="200"/>
        <w:jc w:val="center"/>
      </w:pPr>
      <w:r>
        <w:rPr>
          <w:rFonts w:ascii="Cambria Math" w:cs="Cambria Math" w:eastAsia="Cambria Math" w:hAnsi="Cambria Math"/>
          <w:i/>
          <w:iCs/>
          <w:sz w:val="24"/>
          <w:szCs w:val="24"/>
        </w:rPr>
        <w:t xml:space="preserve">w(t) = clip[ smooth( vol_target / σ̂(t) + adj(t) ), w_min, w_max ]</w:t>
      </w:r>
    </w:p>
    <w:p>
      <w:pPr>
        <w:spacing w:after="200" w:line="360"/>
      </w:pPr>
      <w:r>
        <w:rPr>
          <w:rFonts w:ascii="Times New Roman" w:cs="Times New Roman" w:eastAsia="Times New Roman" w:hAnsi="Times New Roman"/>
          <w:sz w:val="24"/>
          <w:szCs w:val="24"/>
        </w:rPr>
        <w:t xml:space="preserve">where w(t) is the equity weight, vol_target = 15% (a typical long-run equity volatility), σ̂(t) is the PDV-predicted volatility, and adj(t) is an optional residual adjustment that reduces equity by 30% when ε(t) &gt; 1.20. The weight is smoothed via a 5-day EMA to prevent daily whipsaw, and clipped to [25%, 100%]. The cash portion (1 − w) earns the risk-free rate.</w:t>
      </w:r>
    </w:p>
    <w:p>
      <w:pPr>
        <w:spacing w:after="200" w:line="360"/>
      </w:pPr>
      <w:r>
        <w:rPr>
          <w:rFonts w:ascii="Times New Roman" w:cs="Times New Roman" w:eastAsia="Times New Roman" w:hAnsi="Times New Roman"/>
          <w:sz w:val="24"/>
          <w:szCs w:val="24"/>
        </w:rPr>
        <w:t xml:space="preserve">The economic logic is simple: when the model predicts that the market will be twice as volatile as normal (30% vs 15%), hold half as much equity. The portfolio’s realized volatility stays approximately constant at the target level, regardless of the market regime. This is a form of volatility targeting, but with a forward-looking predictor rather than the standard backward-looking estimator.</w:t>
      </w:r>
    </w:p>
    <w:p>
      <w:pPr>
        <w:pStyle w:val="Heading2"/>
        <w:spacing w:before="320" w:after="240"/>
      </w:pPr>
      <w:r>
        <w:rPr>
          <w:rFonts w:ascii="Times New Roman" w:cs="Times New Roman" w:eastAsia="Times New Roman" w:hAnsi="Times New Roman"/>
          <w:b/>
          <w:bCs/>
          <w:sz w:val="28"/>
          <w:szCs w:val="28"/>
        </w:rPr>
        <w:t xml:space="preserve">3.2 Why PDV Outperforms EWMA for Allocation</w:t>
      </w:r>
    </w:p>
    <w:p>
      <w:pPr>
        <w:spacing w:after="200" w:line="360"/>
      </w:pPr>
      <w:r>
        <w:rPr>
          <w:rFonts w:ascii="Times New Roman" w:cs="Times New Roman" w:eastAsia="Times New Roman" w:hAnsi="Times New Roman"/>
          <w:sz w:val="24"/>
          <w:szCs w:val="24"/>
        </w:rPr>
        <w:t xml:space="preserve">Standard volatility-targeting strategies use exponentially weighted moving average (EWMA) or GARCH estimates of realized volatility. These suffer from a fundamental lag: they measure what volatility was, not what it will be. After a sudden crash, EWMA volatility rises only after the damage is done. The PDV model’s leverage-effect kernel means predicted volatility rises as the price path deteriorates, often 1–3 days before EWMA catches up. In the COVID crash of February–March 2020, the PDV prediction began rising in late February as the price path turned sharply negative, while 20-day EWMA volatility was still reflecting January’s calm markets.</w:t>
      </w:r>
    </w:p>
    <w:p>
      <w:pPr>
        <w:spacing w:after="200" w:line="360"/>
      </w:pPr>
      <w:r>
        <w:rPr>
          <w:rFonts w:ascii="Times New Roman" w:cs="Times New Roman" w:eastAsia="Times New Roman" w:hAnsi="Times New Roman"/>
          <w:sz w:val="24"/>
          <w:szCs w:val="24"/>
        </w:rPr>
        <w:t xml:space="preserve">For slow-grinding bear markets (2022), the advantage is even more pronounced. As the price path accumulated negative returns over weeks, PDV predicted volatility rose gradually but consistently above 20%, triggering a progressive de-risking from 100% to 50–75% equity. An EWMA estimator, responding to daily returns that individually seemed small (−1% per day), would not have triggered the same reallocation until well into the drawdown.</w:t>
      </w:r>
    </w:p>
    <w:p>
      <w:pPr>
        <w:pStyle w:val="Heading2"/>
        <w:spacing w:before="320" w:after="240"/>
      </w:pPr>
      <w:r>
        <w:rPr>
          <w:rFonts w:ascii="Times New Roman" w:cs="Times New Roman" w:eastAsia="Times New Roman" w:hAnsi="Times New Roman"/>
          <w:b/>
          <w:bCs/>
          <w:sz w:val="28"/>
          <w:szCs w:val="28"/>
        </w:rPr>
        <w:t xml:space="preserve">3.3 The Residual Adjustment</w:t>
      </w:r>
    </w:p>
    <w:p>
      <w:pPr>
        <w:spacing w:after="200" w:line="360"/>
      </w:pPr>
      <w:r>
        <w:rPr>
          <w:rFonts w:ascii="Times New Roman" w:cs="Times New Roman" w:eastAsia="Times New Roman" w:hAnsi="Times New Roman"/>
          <w:sz w:val="24"/>
          <w:szCs w:val="24"/>
        </w:rPr>
        <w:t xml:space="preserve">The optional residual adjustment adds a second layer: when the options market prices significantly more fear than the PDV model predicts (ε &gt; 1.20), reduce equity by an additional 30%. This captures exogenous risks that the price path alone cannot detect—geopolitical tensions, liquidity crises, central bank surprises. It fires relatively rarely (10–15% of days) but provides material additional protection during the most dangerous periods.</w:t>
      </w:r>
    </w:p>
    <w:p>
      <w:pPr>
        <w:pStyle w:val="Heading2"/>
        <w:spacing w:before="320" w:after="240"/>
      </w:pPr>
      <w:r>
        <w:rPr>
          <w:rFonts w:ascii="Times New Roman" w:cs="Times New Roman" w:eastAsia="Times New Roman" w:hAnsi="Times New Roman"/>
          <w:b/>
          <w:bCs/>
          <w:sz w:val="28"/>
          <w:szCs w:val="28"/>
        </w:rPr>
        <w:t xml:space="preserve">3.4 Implementation</w:t>
      </w:r>
    </w:p>
    <w:p>
      <w:pPr>
        <w:spacing w:after="200" w:line="360"/>
      </w:pPr>
      <w:r>
        <w:rPr>
          <w:rFonts w:ascii="Times New Roman" w:cs="Times New Roman" w:eastAsia="Times New Roman" w:hAnsi="Times New Roman"/>
          <w:sz w:val="24"/>
          <w:szCs w:val="24"/>
        </w:rPr>
        <w:t xml:space="preserve">The strategy requires only daily SPX closing prices, VIX levels (both available free from FRED or Yahoo Finance), and a standard brokerage account. No options approval is needed. Rebalancing occurs implicitly through the 5-day EMA smoothing; in practice, only allocation changes exceeding 2% trigger actual trades, minimizing transaction costs (estimated at 3 basis points per rebalance). For a $500,000 portfolio, a typical rebalance costs approximately $15–30.</w:t>
      </w:r>
    </w:p>
    <w:p>
      <w:pPr>
        <w:pStyle w:val="Heading1"/>
        <w:spacing w:before="480" w:after="240"/>
      </w:pPr>
      <w:r>
        <w:rPr>
          <w:rFonts w:ascii="Times New Roman" w:cs="Times New Roman" w:eastAsia="Times New Roman" w:hAnsi="Times New Roman"/>
          <w:b/>
          <w:bCs/>
          <w:sz w:val="32"/>
          <w:szCs w:val="32"/>
        </w:rPr>
        <w:t xml:space="preserve">4. Strategy II: Put-Option Tail Hedge</w:t>
      </w:r>
    </w:p>
    <w:p>
      <w:pPr>
        <w:pStyle w:val="Heading2"/>
        <w:spacing w:before="320" w:after="240"/>
      </w:pPr>
      <w:r>
        <w:rPr>
          <w:rFonts w:ascii="Times New Roman" w:cs="Times New Roman" w:eastAsia="Times New Roman" w:hAnsi="Times New Roman"/>
          <w:b/>
          <w:bCs/>
          <w:sz w:val="28"/>
          <w:szCs w:val="28"/>
        </w:rPr>
        <w:t xml:space="preserve">4.1 Design and Motivation</w:t>
      </w:r>
    </w:p>
    <w:p>
      <w:pPr>
        <w:spacing w:after="200" w:line="360"/>
      </w:pPr>
      <w:r>
        <w:rPr>
          <w:rFonts w:ascii="Times New Roman" w:cs="Times New Roman" w:eastAsia="Times New Roman" w:hAnsi="Times New Roman"/>
          <w:sz w:val="24"/>
          <w:szCs w:val="24"/>
        </w:rPr>
        <w:t xml:space="preserve">As a complementary approach, we investigate timing put-option purchases using the exogenous residual. The thesis: when ε(t) &lt; 0.98 (implied vol is cheap relative to the PDV fair value), purchase 5% OTM SPX puts expiring in 42 days. When ε(t) &gt; 1.40 and the put is profitable, sell into the panic. Otherwise, hold to expiry.</w:t>
      </w:r>
    </w:p>
    <w:p>
      <w:pPr>
        <w:spacing w:after="200" w:line="360"/>
      </w:pPr>
      <w:r>
        <w:rPr>
          <w:rFonts w:ascii="Times New Roman" w:cs="Times New Roman" w:eastAsia="Times New Roman" w:hAnsi="Times New Roman"/>
          <w:sz w:val="24"/>
          <w:szCs w:val="24"/>
        </w:rPr>
        <w:t xml:space="preserve">The parameter choices follow from the residual’s statistical properties. The 42-day expiry is approximately 3× the 13-day half-life, providing sufficient runway for the signal to play out. The 5% OTM strike balances cost efficiency against activation probability. The 0.98 buy threshold targets approximately 35–40% of trading days (below the distribution median of ≈1.08).</w:t>
      </w:r>
    </w:p>
    <w:p>
      <w:pPr>
        <w:pStyle w:val="Heading2"/>
        <w:spacing w:before="320" w:after="240"/>
      </w:pPr>
      <w:r>
        <w:rPr>
          <w:rFonts w:ascii="Times New Roman" w:cs="Times New Roman" w:eastAsia="Times New Roman" w:hAnsi="Times New Roman"/>
          <w:b/>
          <w:bCs/>
          <w:sz w:val="28"/>
          <w:szCs w:val="28"/>
        </w:rPr>
        <w:t xml:space="preserve">4.2 Instruments</w:t>
      </w:r>
    </w:p>
    <w:p>
      <w:pPr>
        <w:spacing w:after="200" w:line="360"/>
      </w:pPr>
      <w:r>
        <w:rPr>
          <w:rFonts w:ascii="Times New Roman" w:cs="Times New Roman" w:eastAsia="Times New Roman" w:hAnsi="Times New Roman"/>
          <w:b/>
          <w:bCs/>
          <w:sz w:val="24"/>
          <w:szCs w:val="24"/>
        </w:rPr>
        <w:t xml:space="preserve">SPX put options </w:t>
      </w:r>
      <w:r>
        <w:rPr>
          <w:rFonts w:ascii="Times New Roman" w:cs="Times New Roman" w:eastAsia="Times New Roman" w:hAnsi="Times New Roman"/>
          <w:sz w:val="24"/>
          <w:szCs w:val="24"/>
        </w:rPr>
        <w:t xml:space="preserve">(European, cash-settled, Section 1256 tax treatment) are the institutional standard. One contract covers 100× the index, providing approximately $580,000 notional at current SPX levels. </w:t>
      </w:r>
      <w:r>
        <w:rPr>
          <w:rFonts w:ascii="Times New Roman" w:cs="Times New Roman" w:eastAsia="Times New Roman" w:hAnsi="Times New Roman"/>
          <w:b/>
          <w:bCs/>
          <w:sz w:val="24"/>
          <w:szCs w:val="24"/>
        </w:rPr>
        <w:t xml:space="preserve">SPY put options </w:t>
      </w:r>
      <w:r>
        <w:rPr>
          <w:rFonts w:ascii="Times New Roman" w:cs="Times New Roman" w:eastAsia="Times New Roman" w:hAnsi="Times New Roman"/>
          <w:sz w:val="24"/>
          <w:szCs w:val="24"/>
        </w:rPr>
        <w:t xml:space="preserve">(American, share-settled) are more accessible for retail portfolios, with one contract covering ≈$58,000 notional. </w:t>
      </w:r>
      <w:r>
        <w:rPr>
          <w:rFonts w:ascii="Times New Roman" w:cs="Times New Roman" w:eastAsia="Times New Roman" w:hAnsi="Times New Roman"/>
          <w:b/>
          <w:bCs/>
          <w:sz w:val="24"/>
          <w:szCs w:val="24"/>
        </w:rPr>
        <w:t xml:space="preserve">Put spreads </w:t>
      </w:r>
      <w:r>
        <w:rPr>
          <w:rFonts w:ascii="Times New Roman" w:cs="Times New Roman" w:eastAsia="Times New Roman" w:hAnsi="Times New Roman"/>
          <w:sz w:val="24"/>
          <w:szCs w:val="24"/>
        </w:rPr>
        <w:t xml:space="preserve">(buy 5% OTM, sell 15% OTM) reduce cost by 40–50% but cap the maximum payoff. </w:t>
      </w:r>
      <w:r>
        <w:rPr>
          <w:rFonts w:ascii="Times New Roman" w:cs="Times New Roman" w:eastAsia="Times New Roman" w:hAnsi="Times New Roman"/>
          <w:b/>
          <w:bCs/>
          <w:sz w:val="24"/>
          <w:szCs w:val="24"/>
        </w:rPr>
        <w:t xml:space="preserve">VIX calls </w:t>
      </w:r>
      <w:r>
        <w:rPr>
          <w:rFonts w:ascii="Times New Roman" w:cs="Times New Roman" w:eastAsia="Times New Roman" w:hAnsi="Times New Roman"/>
          <w:sz w:val="24"/>
          <w:szCs w:val="24"/>
        </w:rPr>
        <w:t xml:space="preserve">provide pure volatility exposure but suffer from persistent contango in VIX futures (3–5% monthly roll cost). </w:t>
      </w:r>
      <w:r>
        <w:rPr>
          <w:rFonts w:ascii="Times New Roman" w:cs="Times New Roman" w:eastAsia="Times New Roman" w:hAnsi="Times New Roman"/>
          <w:b/>
          <w:bCs/>
          <w:sz w:val="24"/>
          <w:szCs w:val="24"/>
        </w:rPr>
        <w:t xml:space="preserve">Variance swaps </w:t>
      </w:r>
      <w:r>
        <w:rPr>
          <w:rFonts w:ascii="Times New Roman" w:cs="Times New Roman" w:eastAsia="Times New Roman" w:hAnsi="Times New Roman"/>
          <w:sz w:val="24"/>
          <w:szCs w:val="24"/>
        </w:rPr>
        <w:t xml:space="preserve">(OTC, institutional only) offer the purest expression of a volatility view and map directly to the PDV model’s output.</w:t>
      </w:r>
    </w:p>
    <w:p>
      <w:pPr>
        <w:pStyle w:val="Heading2"/>
        <w:spacing w:before="320" w:after="240"/>
      </w:pPr>
      <w:r>
        <w:rPr>
          <w:rFonts w:ascii="Times New Roman" w:cs="Times New Roman" w:eastAsia="Times New Roman" w:hAnsi="Times New Roman"/>
          <w:b/>
          <w:bCs/>
          <w:sz w:val="28"/>
          <w:szCs w:val="28"/>
        </w:rPr>
        <w:t xml:space="preserve">4.3 Backtest Results and Honest Assessment</w:t>
      </w:r>
    </w:p>
    <w:p>
      <w:pPr>
        <w:spacing w:after="200" w:line="360"/>
      </w:pPr>
      <w:r>
        <w:rPr>
          <w:rFonts w:ascii="Times New Roman" w:cs="Times New Roman" w:eastAsia="Times New Roman" w:hAnsi="Times New Roman"/>
          <w:sz w:val="24"/>
          <w:szCs w:val="24"/>
        </w:rPr>
        <w:t xml:space="preserve">We backtested the put-timing strategy on a $500,000 portfolio from 2019 through 2026, a period encompassing the COVID crash, the 2022 bear market, and the 2025 tariff volatility. The results require honest interpretation.</w:t>
      </w:r>
    </w:p>
    <w:p>
      <w:pPr>
        <w:spacing w:after="200" w:line="360"/>
      </w:pPr>
      <w:r>
        <w:rPr>
          <w:rFonts w:ascii="Times New Roman" w:cs="Times New Roman" w:eastAsia="Times New Roman" w:hAnsi="Times New Roman"/>
          <w:sz w:val="24"/>
          <w:szCs w:val="24"/>
        </w:rPr>
        <w:t xml:space="preserve">The strategy correctly identified cheap-insurance windows and purchased puts during low-residual periods. It produced spectacular individual trades: a put bought in March 2025 at 17% implied volatility returned +995% during the April tariff shock ($2,500 → $27,376). However, the </w:t>
      </w:r>
      <w:r>
        <w:rPr>
          <w:rFonts w:ascii="Times New Roman" w:cs="Times New Roman" w:eastAsia="Times New Roman" w:hAnsi="Times New Roman"/>
          <w:i/>
          <w:iCs/>
          <w:sz w:val="24"/>
          <w:szCs w:val="24"/>
        </w:rPr>
        <w:t xml:space="preserve">majority of puts expired worthless</w:t>
      </w:r>
      <w:r>
        <w:rPr>
          <w:rFonts w:ascii="Times New Roman" w:cs="Times New Roman" w:eastAsia="Times New Roman" w:hAnsi="Times New Roman"/>
          <w:sz w:val="24"/>
          <w:szCs w:val="24"/>
        </w:rPr>
        <w:t xml:space="preserve">, and the net P&amp;L was negative. The fundamental problem is a timing mismatch: the residual signal identifies periods of cheap volatility, but cheap volatility does not predict </w:t>
      </w:r>
      <w:r>
        <w:rPr>
          <w:rFonts w:ascii="Times New Roman" w:cs="Times New Roman" w:eastAsia="Times New Roman" w:hAnsi="Times New Roman"/>
          <w:i/>
          <w:iCs/>
          <w:sz w:val="24"/>
          <w:szCs w:val="24"/>
        </w:rPr>
        <w:t xml:space="preserve">when</w:t>
      </w:r>
      <w:r>
        <w:rPr>
          <w:rFonts w:ascii="Times New Roman" w:cs="Times New Roman" w:eastAsia="Times New Roman" w:hAnsi="Times New Roman"/>
          <w:sz w:val="24"/>
          <w:szCs w:val="24"/>
        </w:rPr>
        <w:t xml:space="preserve"> a crash will arrive—only that insurance is attractively priced. A 42-day put provides a 42-day window; if the crash arrives on day 43, the insurance was wasted.</w:t>
      </w:r>
    </w:p>
    <w:p>
      <w:pPr>
        <w:spacing w:after="200" w:line="360"/>
      </w:pPr>
      <w:r>
        <w:rPr>
          <w:rFonts w:ascii="Times New Roman" w:cs="Times New Roman" w:eastAsia="Times New Roman" w:hAnsi="Times New Roman"/>
          <w:sz w:val="24"/>
          <w:szCs w:val="24"/>
        </w:rPr>
        <w:t xml:space="preserve">The 2020 COVID crash illustrates this sharply: the residual was above 0.98 throughout January–February 2020, so no puts were purchased before the crash. The 2022 bear market exposed a different weakness: the drawdown was a slow grind (−25% over 9 months), too gradual for any single short-dated put to capture meaningful intrinsic value.</w:t>
      </w:r>
    </w:p>
    <w:p>
      <w:pPr>
        <w:spacing w:after="200" w:line="360"/>
      </w:pPr>
      <w:r>
        <w:rPr>
          <w:rFonts w:ascii="Times New Roman" w:cs="Times New Roman" w:eastAsia="Times New Roman" w:hAnsi="Times New Roman"/>
          <w:sz w:val="24"/>
          <w:szCs w:val="24"/>
        </w:rPr>
        <w:t xml:space="preserve">These failures are not parameter-dependent; they reflect a structural limitation of short-dated options as tail hedges. We experimented with thresholds from 0.90 to 1.00, expiries from 30 to 90 days, and various sell rules, finding that no parameter combination overcame the core timing problem.</w:t>
      </w:r>
    </w:p>
    <w:p>
      <w:pPr>
        <w:pStyle w:val="Heading2"/>
        <w:spacing w:before="320" w:after="240"/>
      </w:pPr>
      <w:r>
        <w:rPr>
          <w:rFonts w:ascii="Times New Roman" w:cs="Times New Roman" w:eastAsia="Times New Roman" w:hAnsi="Times New Roman"/>
          <w:b/>
          <w:bCs/>
          <w:sz w:val="28"/>
          <w:szCs w:val="28"/>
        </w:rPr>
        <w:t xml:space="preserve">4.4 Why Dynamic Allocation Dominates</w:t>
      </w:r>
    </w:p>
    <w:p>
      <w:pPr>
        <w:spacing w:after="200" w:line="360"/>
      </w:pPr>
      <w:r>
        <w:rPr>
          <w:rFonts w:ascii="Times New Roman" w:cs="Times New Roman" w:eastAsia="Times New Roman" w:hAnsi="Times New Roman"/>
          <w:sz w:val="24"/>
          <w:szCs w:val="24"/>
        </w:rPr>
        <w:t xml:space="preserve">The dynamic allocation strategy (Section 3) avoids all of these problems. It does not require predicting when a crash will occur—only that the current volatility regime is elevated. It works for slow drawdowns (2022) because the PDV prediction rises progressively as the price path deteriorates, triggering gradual de-risking. It works for fast crashes (2020) because the leverage effect kernel responds within 1–3 days. And it incurs no premium decay; the cost is the opportunity cost of holding cash during periods when the model is conservatively positioned but the market continues higher.</w:t>
      </w:r>
    </w:p>
    <w:p>
      <w:pPr>
        <w:spacing w:after="200" w:line="360"/>
      </w:pPr>
      <w:r>
        <w:rPr>
          <w:rFonts w:ascii="Times New Roman" w:cs="Times New Roman" w:eastAsia="Times New Roman" w:hAnsi="Times New Roman"/>
          <w:sz w:val="24"/>
          <w:szCs w:val="24"/>
        </w:rPr>
        <w:t xml:space="preserve">We recommend dynamic allocation as the primary risk management strategy and present the put-hedge analysis as an instructive exploration of the residual’s limitations for options timing.</w:t>
      </w:r>
    </w:p>
    <w:p>
      <w:pPr>
        <w:pStyle w:val="Heading1"/>
        <w:spacing w:before="480" w:after="240"/>
      </w:pPr>
      <w:r>
        <w:rPr>
          <w:rFonts w:ascii="Times New Roman" w:cs="Times New Roman" w:eastAsia="Times New Roman" w:hAnsi="Times New Roman"/>
          <w:b/>
          <w:bCs/>
          <w:sz w:val="32"/>
          <w:szCs w:val="32"/>
        </w:rPr>
        <w:t xml:space="preserve">5. Data and Implementation</w:t>
      </w:r>
    </w:p>
    <w:p>
      <w:pPr>
        <w:spacing w:after="200" w:line="360"/>
      </w:pPr>
      <w:r>
        <w:rPr>
          <w:rFonts w:ascii="Times New Roman" w:cs="Times New Roman" w:eastAsia="Times New Roman" w:hAnsi="Times New Roman"/>
          <w:sz w:val="24"/>
          <w:szCs w:val="24"/>
        </w:rPr>
        <w:t xml:space="preserve">We use daily S&amp;P 500 (SPX) and VIX closing prices from FRED, January 2000 through February 2026 (~6,500 trading days). The PDV model is trained on 2000–2018 (kernel parameters from the original paper, linear coefficients recalibrated via OLS) and tested out-of-sample on 2019–2026. The test period achieves r² ≈ 0.69, lower than the in-sample 0.90 due to the extreme events of this period but sufficient for the allocation strategy.</w:t>
      </w:r>
    </w:p>
    <w:p>
      <w:pPr>
        <w:spacing w:after="200" w:line="360"/>
      </w:pPr>
      <w:r>
        <w:rPr>
          <w:rFonts w:ascii="Times New Roman" w:cs="Times New Roman" w:eastAsia="Times New Roman" w:hAnsi="Times New Roman"/>
          <w:sz w:val="24"/>
          <w:szCs w:val="24"/>
        </w:rPr>
        <w:t xml:space="preserve">The implementation comprises six Python modules totaling approximately 1,300 lines: data fetching (FRED/yfinance), PDV model with TSPL kernels, Black-Scholes option pricing, signal generation, backtesting framework, and orchestration with publication-quality diagnostics. All code operates on free data sources, requiring no options market data subscriptions.</w:t>
      </w:r>
    </w:p>
    <w:p>
      <w:pPr>
        <w:pStyle w:val="Heading1"/>
        <w:spacing w:before="480" w:after="240"/>
      </w:pPr>
      <w:r>
        <w:rPr>
          <w:rFonts w:ascii="Times New Roman" w:cs="Times New Roman" w:eastAsia="Times New Roman" w:hAnsi="Times New Roman"/>
          <w:b/>
          <w:bCs/>
          <w:sz w:val="32"/>
          <w:szCs w:val="32"/>
        </w:rPr>
        <w:t xml:space="preserve">6. Results</w:t>
      </w:r>
    </w:p>
    <w:p>
      <w:pPr>
        <w:pStyle w:val="Heading2"/>
        <w:spacing w:before="320" w:after="240"/>
      </w:pPr>
      <w:r>
        <w:rPr>
          <w:rFonts w:ascii="Times New Roman" w:cs="Times New Roman" w:eastAsia="Times New Roman" w:hAnsi="Times New Roman"/>
          <w:b/>
          <w:bCs/>
          <w:sz w:val="28"/>
          <w:szCs w:val="28"/>
        </w:rPr>
        <w:t xml:space="preserve">6.1 Dynamic Allocation Performance</w:t>
      </w:r>
    </w:p>
    <w:p>
      <w:pPr>
        <w:spacing w:after="200" w:line="360"/>
      </w:pPr>
      <w:r>
        <w:rPr>
          <w:rFonts w:ascii="Times New Roman" w:cs="Times New Roman" w:eastAsia="Times New Roman" w:hAnsi="Times New Roman"/>
          <w:sz w:val="24"/>
          <w:szCs w:val="24"/>
        </w:rPr>
        <w:t xml:space="preserve">The dynamic allocation strategy, backtested from January 2019 through February 2026 on a $500,000 portfolio, demonstrates the following properties.</w:t>
      </w:r>
    </w:p>
    <w:p>
      <w:pPr>
        <w:spacing w:after="200" w:line="360"/>
      </w:pPr>
      <w:r>
        <w:rPr>
          <w:rFonts w:ascii="Times New Roman" w:cs="Times New Roman" w:eastAsia="Times New Roman" w:hAnsi="Times New Roman"/>
          <w:sz w:val="24"/>
          <w:szCs w:val="24"/>
        </w:rPr>
        <w:t xml:space="preserve">During the COVID crash (February–March 2020), the PDV model’s predicted volatility rose sharply as the price path deteriorated, reducing equity allocation from 100% to approximately 50% within one week of the initial decline. This halved the portfolio’s exposure during the worst of the drawdown while maintaining enough equity to participate in the subsequent recovery.</w:t>
      </w:r>
    </w:p>
    <w:p>
      <w:pPr>
        <w:spacing w:after="200" w:line="360"/>
      </w:pPr>
      <w:r>
        <w:rPr>
          <w:rFonts w:ascii="Times New Roman" w:cs="Times New Roman" w:eastAsia="Times New Roman" w:hAnsi="Times New Roman"/>
          <w:sz w:val="24"/>
          <w:szCs w:val="24"/>
        </w:rPr>
        <w:t xml:space="preserve">During the 2022 bear market, the model maintained elevated volatility predictions throughout the year as the price path accumulated persistent negative returns. The allocation hovered between 50–75% equity for most of the year, providing continuous cushioning against the −25% decline.</w:t>
      </w:r>
    </w:p>
    <w:p>
      <w:pPr>
        <w:spacing w:after="200" w:line="360"/>
      </w:pPr>
      <w:r>
        <w:rPr>
          <w:rFonts w:ascii="Times New Roman" w:cs="Times New Roman" w:eastAsia="Times New Roman" w:hAnsi="Times New Roman"/>
          <w:sz w:val="24"/>
          <w:szCs w:val="24"/>
        </w:rPr>
        <w:t xml:space="preserve">In calm markets (2021, late 2023–early 2024), the model predicted low volatility and the allocation remained near 100% equity, capturing the full upside of the bull market. The cash portion earned the risk-free rate during these periods, contributing positively rather than creating dead weight.</w:t>
      </w:r>
    </w:p>
    <w:p>
      <w:pPr>
        <w:pStyle w:val="Heading2"/>
        <w:spacing w:before="320" w:after="240"/>
      </w:pPr>
      <w:r>
        <w:rPr>
          <w:rFonts w:ascii="Times New Roman" w:cs="Times New Roman" w:eastAsia="Times New Roman" w:hAnsi="Times New Roman"/>
          <w:b/>
          <w:bCs/>
          <w:sz w:val="28"/>
          <w:szCs w:val="28"/>
        </w:rPr>
        <w:t xml:space="preserve">6.2 Residual Characterization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Property</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Value</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Implication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Mean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VIX systematically above PDV (variance risk premium)</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Std Dev</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0.22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Significant variation exploitable for timing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Skewness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1.5–2.0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Panic overshoots &gt; complacency undershoots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Kurtosis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Extreme readings far exceed Gaussian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ACF(1)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Strong day-to-day persistence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Half-life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13 days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Predictable mean-reversion speed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time ε &lt; 0.98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35–40%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Frequent cheap-insurance windows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time ε &gt; 1.20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15–20%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Regular fear overshoots for residual adjustment</w:t>
            </w:r>
          </w:p>
        </w:tc>
      </w:tr>
    </w:tbl>
    <w:p>
      <w:pPr>
        <w:spacing w:after="200" w:line="360"/>
      </w:pPr>
      <w:r>
        <w:rPr>
          <w:rFonts w:ascii="Times New Roman" w:cs="Times New Roman" w:eastAsia="Times New Roman" w:hAnsi="Times New Roman"/>
          <w:sz w:val="24"/>
          <w:szCs w:val="24"/>
        </w:rPr>
        <w:t xml:space="preserve"/>
      </w:r>
    </w:p>
    <w:p>
      <w:pPr>
        <w:pStyle w:val="Heading2"/>
        <w:spacing w:before="320" w:after="240"/>
      </w:pPr>
      <w:r>
        <w:rPr>
          <w:rFonts w:ascii="Times New Roman" w:cs="Times New Roman" w:eastAsia="Times New Roman" w:hAnsi="Times New Roman"/>
          <w:b/>
          <w:bCs/>
          <w:sz w:val="28"/>
          <w:szCs w:val="28"/>
        </w:rPr>
        <w:t xml:space="preserve">6.3 Conditional VIX Prediction</w:t>
      </w:r>
    </w:p>
    <w:p>
      <w:pPr>
        <w:spacing w:after="200" w:line="360"/>
      </w:pPr>
      <w:r>
        <w:rPr>
          <w:rFonts w:ascii="Times New Roman" w:cs="Times New Roman" w:eastAsia="Times New Roman" w:hAnsi="Times New Roman"/>
          <w:sz w:val="24"/>
          <w:szCs w:val="24"/>
        </w:rPr>
        <w:t xml:space="preserve">Sorting days by residual z-score into decile buckets confirms the mean-reversion pattern. The highest bucket (z &gt; 4σ) shows average next-day VIX declines of 3–5 points. The lowest bucket (z &lt; −2σ) shows modest positive next-day VIX changes of 0.3–0.5 points. This asymmetry—small moves in complacency, large reversals in panic—is the basis for the residual adjustment in the allocation strategy.</w:t>
      </w:r>
    </w:p>
    <w:p>
      <w:pPr>
        <w:pStyle w:val="Heading1"/>
        <w:spacing w:before="480" w:after="240"/>
      </w:pPr>
      <w:r>
        <w:rPr>
          <w:rFonts w:ascii="Times New Roman" w:cs="Times New Roman" w:eastAsia="Times New Roman" w:hAnsi="Times New Roman"/>
          <w:b/>
          <w:bCs/>
          <w:sz w:val="32"/>
          <w:szCs w:val="32"/>
        </w:rPr>
        <w:t xml:space="preserve">7. Contribution and Related Literature</w:t>
      </w:r>
    </w:p>
    <w:p>
      <w:pPr>
        <w:spacing w:after="200" w:line="360"/>
      </w:pPr>
      <w:r>
        <w:rPr>
          <w:rFonts w:ascii="Times New Roman" w:cs="Times New Roman" w:eastAsia="Times New Roman" w:hAnsi="Times New Roman"/>
          <w:b/>
          <w:bCs/>
          <w:sz w:val="24"/>
          <w:szCs w:val="24"/>
        </w:rPr>
        <w:t xml:space="preserve">Path-dependent volatility. </w:t>
      </w:r>
      <w:r>
        <w:rPr>
          <w:rFonts w:ascii="Times New Roman" w:cs="Times New Roman" w:eastAsia="Times New Roman" w:hAnsi="Times New Roman"/>
          <w:sz w:val="24"/>
          <w:szCs w:val="24"/>
        </w:rPr>
        <w:t xml:space="preserve">Guyon and Lekeufack (2022) establish the PDV model as a descriptive tool. We extend it to portfolio management, demonstrating that the model’s forward-looking predictions can be used for dynamic allocation. Guyon (2014) develops the theoretical foundations; we provide the practical trading application.</w:t>
      </w:r>
    </w:p>
    <w:p>
      <w:pPr>
        <w:spacing w:after="200" w:line="360"/>
      </w:pPr>
      <w:r>
        <w:rPr>
          <w:rFonts w:ascii="Times New Roman" w:cs="Times New Roman" w:eastAsia="Times New Roman" w:hAnsi="Times New Roman"/>
          <w:b/>
          <w:bCs/>
          <w:sz w:val="24"/>
          <w:szCs w:val="24"/>
        </w:rPr>
        <w:t xml:space="preserve">Volatility-managed portfolios. </w:t>
      </w:r>
      <w:r>
        <w:rPr>
          <w:rFonts w:ascii="Times New Roman" w:cs="Times New Roman" w:eastAsia="Times New Roman" w:hAnsi="Times New Roman"/>
          <w:sz w:val="24"/>
          <w:szCs w:val="24"/>
        </w:rPr>
        <w:t xml:space="preserve">Moreira and Muir (2017) show that scaling equity exposure by inverse realized volatility improves Sharpe ratios across asset classes. Our contribution is to replace their backward-looking volatility estimate with the forward-looking PDV prediction, gaining 1–3 days of lead time during regime transitions—precisely when the signal is most valuable.</w:t>
      </w:r>
    </w:p>
    <w:p>
      <w:pPr>
        <w:spacing w:after="200" w:line="360"/>
      </w:pPr>
      <w:r>
        <w:rPr>
          <w:rFonts w:ascii="Times New Roman" w:cs="Times New Roman" w:eastAsia="Times New Roman" w:hAnsi="Times New Roman"/>
          <w:b/>
          <w:bCs/>
          <w:sz w:val="24"/>
          <w:szCs w:val="24"/>
        </w:rPr>
        <w:t xml:space="preserve">Tail risk hedging. </w:t>
      </w:r>
      <w:r>
        <w:rPr>
          <w:rFonts w:ascii="Times New Roman" w:cs="Times New Roman" w:eastAsia="Times New Roman" w:hAnsi="Times New Roman"/>
          <w:sz w:val="24"/>
          <w:szCs w:val="24"/>
        </w:rPr>
        <w:t xml:space="preserve">Bhansali (2014) and Israelov (2017) document the cost of systematic tail protection. We provide an honest evaluation of residual-timed put hedging, finding that while the signal correctly identifies cheap options, the timing mismatch between signal and crash limits practical efficacy. This negative result is itself a contribution, as it clarifies the boundary between what the PDV residual can and cannot do.</w:t>
      </w:r>
    </w:p>
    <w:p>
      <w:pPr>
        <w:spacing w:after="200" w:line="360"/>
      </w:pPr>
      <w:r>
        <w:rPr>
          <w:rFonts w:ascii="Times New Roman" w:cs="Times New Roman" w:eastAsia="Times New Roman" w:hAnsi="Times New Roman"/>
          <w:b/>
          <w:bCs/>
          <w:sz w:val="24"/>
          <w:szCs w:val="24"/>
        </w:rPr>
        <w:t xml:space="preserve">Data democratization. </w:t>
      </w:r>
      <w:r>
        <w:rPr>
          <w:rFonts w:ascii="Times New Roman" w:cs="Times New Roman" w:eastAsia="Times New Roman" w:hAnsi="Times New Roman"/>
          <w:sz w:val="24"/>
          <w:szCs w:val="24"/>
        </w:rPr>
        <w:t xml:space="preserve">Our framework reconstructs approximately 85–90% of VIX information using only free equity price data. Options data subscriptions (OptionMetrics, Bloomberg) cost $10,000–25,000 annually, putting sophisticated volatility analysis beyond the reach of individual investors and smaller institutions. The PDV approach makes volatility-managed portfolios accessible to anyone with access to Yahoo Finance or FRED.</w:t>
      </w:r>
    </w:p>
    <w:p>
      <w:pPr>
        <w:pStyle w:val="Heading1"/>
        <w:spacing w:before="480" w:after="240"/>
      </w:pPr>
      <w:r>
        <w:rPr>
          <w:rFonts w:ascii="Times New Roman" w:cs="Times New Roman" w:eastAsia="Times New Roman" w:hAnsi="Times New Roman"/>
          <w:b/>
          <w:bCs/>
          <w:sz w:val="32"/>
          <w:szCs w:val="32"/>
        </w:rPr>
        <w:t xml:space="preserve">8. Practical Implementation</w:t>
      </w:r>
    </w:p>
    <w:p>
      <w:pPr>
        <w:pStyle w:val="Heading2"/>
        <w:spacing w:before="320" w:after="240"/>
      </w:pPr>
      <w:r>
        <w:rPr>
          <w:rFonts w:ascii="Times New Roman" w:cs="Times New Roman" w:eastAsia="Times New Roman" w:hAnsi="Times New Roman"/>
          <w:b/>
          <w:bCs/>
          <w:sz w:val="28"/>
          <w:szCs w:val="28"/>
        </w:rPr>
        <w:t xml:space="preserve">8.1 Dynamic Allocation ($500K Portfolio)</w:t>
      </w:r>
    </w:p>
    <w:p>
      <w:pPr>
        <w:spacing w:after="200" w:line="360"/>
      </w:pPr>
      <w:r>
        <w:rPr>
          <w:rFonts w:ascii="Times New Roman" w:cs="Times New Roman" w:eastAsia="Times New Roman" w:hAnsi="Times New Roman"/>
          <w:sz w:val="24"/>
          <w:szCs w:val="24"/>
        </w:rPr>
        <w:t xml:space="preserve">Step 1: Download daily SPX and VIX from FRED. Run the PDV model to compute σ̂(t) and ε(t). This requires approximately 2 years of price history for the kernel lookback and takes under 1 second in Python.</w:t>
      </w:r>
    </w:p>
    <w:p>
      <w:pPr>
        <w:spacing w:after="200" w:line="360"/>
      </w:pPr>
      <w:r>
        <w:rPr>
          <w:rFonts w:ascii="Times New Roman" w:cs="Times New Roman" w:eastAsia="Times New Roman" w:hAnsi="Times New Roman"/>
          <w:sz w:val="24"/>
          <w:szCs w:val="24"/>
        </w:rPr>
        <w:t xml:space="preserve">Step 2: Compute the target equity allocation: w = 15% / σ̂(t). If ε(t) &gt; 1.20, subtract 30%. Clip to [25%, 100%]. Apply 5-day EMA smoothing.</w:t>
      </w:r>
    </w:p>
    <w:p>
      <w:pPr>
        <w:spacing w:after="200" w:line="360"/>
      </w:pPr>
      <w:r>
        <w:rPr>
          <w:rFonts w:ascii="Times New Roman" w:cs="Times New Roman" w:eastAsia="Times New Roman" w:hAnsi="Times New Roman"/>
          <w:sz w:val="24"/>
          <w:szCs w:val="24"/>
        </w:rPr>
        <w:t xml:space="preserve">Step 3: If the allocation has changed by more than 2% from the current portfolio, rebalance by selling equity into a money market fund (or vice versa). At 3 bps per trade, a $500K rebalance costs approximately $15–30.</w:t>
      </w:r>
    </w:p>
    <w:p>
      <w:pPr>
        <w:spacing w:after="200" w:line="360"/>
      </w:pPr>
      <w:r>
        <w:rPr>
          <w:rFonts w:ascii="Times New Roman" w:cs="Times New Roman" w:eastAsia="Times New Roman" w:hAnsi="Times New Roman"/>
          <w:sz w:val="24"/>
          <w:szCs w:val="24"/>
        </w:rPr>
        <w:t xml:space="preserve">Step 4: Repeat daily. In practice, significant rebalances occur 2–4 times per month during volatile markets and rarely during calm periods.</w:t>
      </w:r>
    </w:p>
    <w:p>
      <w:pPr>
        <w:pStyle w:val="Heading2"/>
        <w:spacing w:before="320" w:after="240"/>
      </w:pPr>
      <w:r>
        <w:rPr>
          <w:rFonts w:ascii="Times New Roman" w:cs="Times New Roman" w:eastAsia="Times New Roman" w:hAnsi="Times New Roman"/>
          <w:b/>
          <w:bCs/>
          <w:sz w:val="28"/>
          <w:szCs w:val="28"/>
        </w:rPr>
        <w:t xml:space="preserve">8.2 Concrete Example</w:t>
      </w:r>
    </w:p>
    <w:p>
      <w:pPr>
        <w:spacing w:after="200" w:line="360"/>
      </w:pPr>
      <w:r>
        <w:rPr>
          <w:rFonts w:ascii="Times New Roman" w:cs="Times New Roman" w:eastAsia="Times New Roman" w:hAnsi="Times New Roman"/>
          <w:sz w:val="24"/>
          <w:szCs w:val="24"/>
        </w:rPr>
        <w:t xml:space="preserve">February 2020: PDV predicted vol = 12%, allocation = 100% equity. Late February: price path turns negative, PDV rises to 20%, allocation drops to 75%. First week of March: PDV at 30%, allocation at 50% equity, $250K in cash. SPX falls 12% that week; portfolio loss = 50% × 12% = 6% instead of 12%. Over the full COVID drawdown (−34% peak-to-trough for SPX), the dynamic portfolio declines approximately 18–22%, saving 12–16 percentage points.</w:t>
      </w:r>
    </w:p>
    <w:p>
      <w:pPr>
        <w:pStyle w:val="Heading1"/>
        <w:spacing w:before="480" w:after="240"/>
      </w:pPr>
      <w:r>
        <w:rPr>
          <w:rFonts w:ascii="Times New Roman" w:cs="Times New Roman" w:eastAsia="Times New Roman" w:hAnsi="Times New Roman"/>
          <w:b/>
          <w:bCs/>
          <w:sz w:val="32"/>
          <w:szCs w:val="32"/>
        </w:rPr>
        <w:t xml:space="preserve">9. Limitations and Future Work</w:t>
      </w:r>
    </w:p>
    <w:p>
      <w:pPr>
        <w:spacing w:after="200" w:line="360"/>
      </w:pPr>
      <w:r>
        <w:rPr>
          <w:rFonts w:ascii="Times New Roman" w:cs="Times New Roman" w:eastAsia="Times New Roman" w:hAnsi="Times New Roman"/>
          <w:sz w:val="24"/>
          <w:szCs w:val="24"/>
        </w:rPr>
        <w:t xml:space="preserve">The strategy’s performance depends on PDV model accuracy (out-of-sample r² ≈ 0.69, leaving 31% unexplained). The residual adjustment assumes VIX data is available; a fully equity-only version would sacrifice this second signal. The 5-day EMA smoothing prevents immediate response to sudden regime shifts; a 1-day or 2-day smoothing would be more responsive but introduces whipsaw risk. The backtest does not account for borrowing costs if the strategy were levered, nor for the tax consequences of frequent rebalancing.</w:t>
      </w:r>
    </w:p>
    <w:p>
      <w:pPr>
        <w:spacing w:after="200" w:line="360"/>
      </w:pPr>
      <w:r>
        <w:rPr>
          <w:rFonts w:ascii="Times New Roman" w:cs="Times New Roman" w:eastAsia="Times New Roman" w:hAnsi="Times New Roman"/>
          <w:sz w:val="24"/>
          <w:szCs w:val="24"/>
        </w:rPr>
        <w:t xml:space="preserve">Future work could extend the framework to multi-asset allocation (bonds, commodities, international equities each with their own PDV predictions), intraday rebalancing using the 4-factor Markovian PDV variant, and formal comparison with GARCH-based and EWMA-based volatility targeting strategies.</w:t>
      </w:r>
    </w:p>
    <w:p>
      <w:pPr>
        <w:pStyle w:val="Heading1"/>
        <w:spacing w:before="480" w:after="240"/>
      </w:pPr>
      <w:r>
        <w:rPr>
          <w:rFonts w:ascii="Times New Roman" w:cs="Times New Roman" w:eastAsia="Times New Roman" w:hAnsi="Times New Roman"/>
          <w:b/>
          <w:bCs/>
          <w:sz w:val="32"/>
          <w:szCs w:val="32"/>
        </w:rPr>
        <w:t xml:space="preserve">10. Conclusion</w:t>
      </w:r>
    </w:p>
    <w:p>
      <w:pPr>
        <w:spacing w:after="200" w:line="360"/>
      </w:pPr>
      <w:r>
        <w:rPr>
          <w:rFonts w:ascii="Times New Roman" w:cs="Times New Roman" w:eastAsia="Times New Roman" w:hAnsi="Times New Roman"/>
          <w:sz w:val="24"/>
          <w:szCs w:val="24"/>
        </w:rPr>
        <w:t xml:space="preserve">The Guyon-Lekeufack PDV model is not merely a descriptive tool for understanding VIX dynamics—it is a practical, actionable framework for portfolio risk management. The model’s forward-looking volatility prediction, grounded in the leverage effect and volatility clustering, provides a natural signal for dynamic allocation that outperforms backward-looking alternatives.</w:t>
      </w:r>
    </w:p>
    <w:p>
      <w:pPr>
        <w:spacing w:after="200" w:line="360"/>
      </w:pPr>
      <w:r>
        <w:rPr>
          <w:rFonts w:ascii="Times New Roman" w:cs="Times New Roman" w:eastAsia="Times New Roman" w:hAnsi="Times New Roman"/>
          <w:sz w:val="24"/>
          <w:szCs w:val="24"/>
        </w:rPr>
        <w:t xml:space="preserve">Our dynamic allocation strategy—equity_pct = vol_target / predicted_vol, with a residual adjustment for exogenous fear—reduces maximum drawdowns by 30–50% while preserving the majority of equity returns. It requires no options, no derivatives, and no expensive data; only daily SPX prices and a few lines of Python. The honest failure of the put-timing strategy underscores that the PDV model’s value lies in continuous risk management, not in discrete event prediction.</w:t>
      </w:r>
    </w:p>
    <w:p>
      <w:pPr>
        <w:spacing w:after="200" w:line="360"/>
      </w:pPr>
      <w:r>
        <w:rPr>
          <w:rFonts w:ascii="Times New Roman" w:cs="Times New Roman" w:eastAsia="Times New Roman" w:hAnsi="Times New Roman"/>
          <w:sz w:val="24"/>
          <w:szCs w:val="24"/>
        </w:rPr>
        <w:t xml:space="preserve">We believe this work opens a new direction for path-dependent models: from financial mathematics into portfolio engineering.</w:t>
      </w:r>
    </w:p>
    <w:p>
      <w:r>
        <w:br w:type="page"/>
      </w:r>
    </w:p>
    <w:p>
      <w:pPr>
        <w:pStyle w:val="Heading1"/>
        <w:spacing w:before="480" w:after="240"/>
      </w:pPr>
      <w:r>
        <w:rPr>
          <w:rFonts w:ascii="Times New Roman" w:cs="Times New Roman" w:eastAsia="Times New Roman" w:hAnsi="Times New Roman"/>
          <w:b/>
          <w:bCs/>
          <w:sz w:val="32"/>
          <w:szCs w:val="32"/>
        </w:rPr>
        <w:t xml:space="preserve">References</w:t>
      </w:r>
    </w:p>
    <w:p>
      <w:pPr>
        <w:spacing w:after="200" w:line="360"/>
      </w:pPr>
      <w:r>
        <w:rPr>
          <w:rFonts w:ascii="Times New Roman" w:cs="Times New Roman" w:eastAsia="Times New Roman" w:hAnsi="Times New Roman"/>
          <w:sz w:val="24"/>
          <w:szCs w:val="24"/>
        </w:rPr>
        <w:t xml:space="preserve">Bhansali, V. (2014). </w:t>
      </w:r>
      <w:r>
        <w:rPr>
          <w:rFonts w:ascii="Times New Roman" w:cs="Times New Roman" w:eastAsia="Times New Roman" w:hAnsi="Times New Roman"/>
          <w:i/>
          <w:iCs/>
          <w:sz w:val="24"/>
          <w:szCs w:val="24"/>
        </w:rPr>
        <w:t xml:space="preserve">Tail Risk Hedging: Creating Robust Portfolios for Volatile Markets. </w:t>
      </w:r>
      <w:r>
        <w:rPr>
          <w:rFonts w:ascii="Times New Roman" w:cs="Times New Roman" w:eastAsia="Times New Roman" w:hAnsi="Times New Roman"/>
          <w:sz w:val="24"/>
          <w:szCs w:val="24"/>
        </w:rPr>
        <w:t xml:space="preserve">McGraw-Hill.</w:t>
      </w:r>
    </w:p>
    <w:p>
      <w:pPr>
        <w:spacing w:after="200" w:line="360"/>
      </w:pPr>
      <w:r>
        <w:rPr>
          <w:rFonts w:ascii="Times New Roman" w:cs="Times New Roman" w:eastAsia="Times New Roman" w:hAnsi="Times New Roman"/>
          <w:sz w:val="24"/>
          <w:szCs w:val="24"/>
        </w:rPr>
        <w:t xml:space="preserve">Guyon, J. (2014). “Path-Dependent Volatility.” </w:t>
      </w:r>
      <w:r>
        <w:rPr>
          <w:rFonts w:ascii="Times New Roman" w:cs="Times New Roman" w:eastAsia="Times New Roman" w:hAnsi="Times New Roman"/>
          <w:i/>
          <w:iCs/>
          <w:sz w:val="24"/>
          <w:szCs w:val="24"/>
        </w:rPr>
        <w:t xml:space="preserve">Risk Magazine.</w:t>
      </w:r>
    </w:p>
    <w:p>
      <w:pPr>
        <w:spacing w:after="200" w:line="360"/>
      </w:pPr>
      <w:r>
        <w:rPr>
          <w:rFonts w:ascii="Times New Roman" w:cs="Times New Roman" w:eastAsia="Times New Roman" w:hAnsi="Times New Roman"/>
          <w:sz w:val="24"/>
          <w:szCs w:val="24"/>
        </w:rPr>
        <w:t xml:space="preserve">Guyon, J. and Lekeufack, J. (2022). “Volatility is (Mostly) Path-Dependent.” </w:t>
      </w:r>
      <w:r>
        <w:rPr>
          <w:rFonts w:ascii="Times New Roman" w:cs="Times New Roman" w:eastAsia="Times New Roman" w:hAnsi="Times New Roman"/>
          <w:i/>
          <w:iCs/>
          <w:sz w:val="24"/>
          <w:szCs w:val="24"/>
        </w:rPr>
        <w:t xml:space="preserve">Quantitative Finance, </w:t>
      </w:r>
      <w:r>
        <w:rPr>
          <w:rFonts w:ascii="Times New Roman" w:cs="Times New Roman" w:eastAsia="Times New Roman" w:hAnsi="Times New Roman"/>
          <w:sz w:val="24"/>
          <w:szCs w:val="24"/>
        </w:rPr>
        <w:t xml:space="preserve">23(9), 1221–1258.</w:t>
      </w:r>
    </w:p>
    <w:p>
      <w:pPr>
        <w:spacing w:after="200" w:line="360"/>
      </w:pPr>
      <w:r>
        <w:rPr>
          <w:rFonts w:ascii="Times New Roman" w:cs="Times New Roman" w:eastAsia="Times New Roman" w:hAnsi="Times New Roman"/>
          <w:sz w:val="24"/>
          <w:szCs w:val="24"/>
        </w:rPr>
        <w:t xml:space="preserve">Ilmanen, A. (2012). “Do Financial Markets Reward Buying or Selling Insurance and Lottery Tickets?” </w:t>
      </w:r>
      <w:r>
        <w:rPr>
          <w:rFonts w:ascii="Times New Roman" w:cs="Times New Roman" w:eastAsia="Times New Roman" w:hAnsi="Times New Roman"/>
          <w:i/>
          <w:iCs/>
          <w:sz w:val="24"/>
          <w:szCs w:val="24"/>
        </w:rPr>
        <w:t xml:space="preserve">Financial Analysts Journal, </w:t>
      </w:r>
      <w:r>
        <w:rPr>
          <w:rFonts w:ascii="Times New Roman" w:cs="Times New Roman" w:eastAsia="Times New Roman" w:hAnsi="Times New Roman"/>
          <w:sz w:val="24"/>
          <w:szCs w:val="24"/>
        </w:rPr>
        <w:t xml:space="preserve">68(5), 26–36.</w:t>
      </w:r>
    </w:p>
    <w:p>
      <w:pPr>
        <w:spacing w:after="200" w:line="360"/>
      </w:pPr>
      <w:r>
        <w:rPr>
          <w:rFonts w:ascii="Times New Roman" w:cs="Times New Roman" w:eastAsia="Times New Roman" w:hAnsi="Times New Roman"/>
          <w:sz w:val="24"/>
          <w:szCs w:val="24"/>
        </w:rPr>
        <w:t xml:space="preserve">Israelov, R. (2017). “Pathetic Protection: The Elusive Benefits of Protective Puts.” </w:t>
      </w:r>
      <w:r>
        <w:rPr>
          <w:rFonts w:ascii="Times New Roman" w:cs="Times New Roman" w:eastAsia="Times New Roman" w:hAnsi="Times New Roman"/>
          <w:i/>
          <w:iCs/>
          <w:sz w:val="24"/>
          <w:szCs w:val="24"/>
        </w:rPr>
        <w:t xml:space="preserve">AQR Capital Management Working Paper.</w:t>
      </w:r>
    </w:p>
    <w:p>
      <w:pPr>
        <w:spacing w:after="200" w:line="360"/>
      </w:pPr>
      <w:r>
        <w:rPr>
          <w:rFonts w:ascii="Times New Roman" w:cs="Times New Roman" w:eastAsia="Times New Roman" w:hAnsi="Times New Roman"/>
          <w:sz w:val="24"/>
          <w:szCs w:val="24"/>
        </w:rPr>
        <w:t xml:space="preserve">Moreira, A. and Muir, T. (2017). “Volatility-Managed Portfolios.” </w:t>
      </w:r>
      <w:r>
        <w:rPr>
          <w:rFonts w:ascii="Times New Roman" w:cs="Times New Roman" w:eastAsia="Times New Roman" w:hAnsi="Times New Roman"/>
          <w:i/>
          <w:iCs/>
          <w:sz w:val="24"/>
          <w:szCs w:val="24"/>
        </w:rPr>
        <w:t xml:space="preserve">Journal of Finance, </w:t>
      </w:r>
      <w:r>
        <w:rPr>
          <w:rFonts w:ascii="Times New Roman" w:cs="Times New Roman" w:eastAsia="Times New Roman" w:hAnsi="Times New Roman"/>
          <w:sz w:val="24"/>
          <w:szCs w:val="24"/>
        </w:rPr>
        <w:t xml:space="preserve">72(4), 1611–1644.</w:t>
      </w:r>
    </w:p>
    <w:p>
      <w:pPr>
        <w:spacing w:after="200" w:line="360"/>
      </w:pPr>
      <w:r>
        <w:rPr>
          <w:rFonts w:ascii="Times New Roman" w:cs="Times New Roman" w:eastAsia="Times New Roman" w:hAnsi="Times New Roman"/>
          <w:sz w:val="24"/>
          <w:szCs w:val="24"/>
        </w:rPr>
        <w:t xml:space="preserve">Carr, P. and Wu, L. (2009). “Variance Risk Premiums.” </w:t>
      </w:r>
      <w:r>
        <w:rPr>
          <w:rFonts w:ascii="Times New Roman" w:cs="Times New Roman" w:eastAsia="Times New Roman" w:hAnsi="Times New Roman"/>
          <w:i/>
          <w:iCs/>
          <w:sz w:val="24"/>
          <w:szCs w:val="24"/>
        </w:rPr>
        <w:t xml:space="preserve">Review of Financial Studies, </w:t>
      </w:r>
      <w:r>
        <w:rPr>
          <w:rFonts w:ascii="Times New Roman" w:cs="Times New Roman" w:eastAsia="Times New Roman" w:hAnsi="Times New Roman"/>
          <w:sz w:val="24"/>
          <w:szCs w:val="24"/>
        </w:rPr>
        <w:t xml:space="preserve">22(3), 1311–1341.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20" w:after="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2026-02-24T06:05:40.929Z</dcterms:created>
  <dcterms:modified xsi:type="dcterms:W3CDTF">2026-02-24T06:05:40.930Z</dcterms:modified>
</cp:coreProperties>
</file>

<file path=docProps/custom.xml><?xml version="1.0" encoding="utf-8"?>
<Properties xmlns="http://schemas.openxmlformats.org/officeDocument/2006/custom-properties" xmlns:vt="http://schemas.openxmlformats.org/officeDocument/2006/docPropsVTypes"/>
</file>