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jc w:val="center"/>
      </w:pPr>
      <w:r>
        <w:rPr>
          <w:rFonts w:ascii="Times New Roman" w:cs="Times New Roman" w:eastAsia="Times New Roman" w:hAnsi="Times New Roman"/>
          <w:b/>
          <w:bCs/>
          <w:sz w:val="44"/>
          <w:szCs w:val="44"/>
        </w:rPr>
        <w:t xml:space="preserve">Path-Dependent Tail Risk Hedging:</w:t>
      </w:r>
    </w:p>
    <w:p>
      <w:pPr>
        <w:spacing w:after="600"/>
        <w:jc w:val="center"/>
      </w:pPr>
      <w:r>
        <w:rPr>
          <w:rFonts w:ascii="Times New Roman" w:cs="Times New Roman" w:eastAsia="Times New Roman" w:hAnsi="Times New Roman"/>
          <w:b/>
          <w:bCs/>
          <w:sz w:val="36"/>
          <w:szCs w:val="36"/>
        </w:rPr>
        <w:t xml:space="preserve">Timing Crash Insurance Using the Exogenous Volatility Residual</w:t>
      </w:r>
    </w:p>
    <w:p>
      <w:pPr>
        <w:spacing w:after="200"/>
        <w:jc w:val="center"/>
      </w:pPr>
      <w:r>
        <w:rPr>
          <w:rFonts w:ascii="Times New Roman" w:cs="Times New Roman" w:eastAsia="Times New Roman" w:hAnsi="Times New Roman"/>
          <w:sz w:val="28"/>
          <w:szCs w:val="28"/>
        </w:rPr>
        <w:t xml:space="preserve">Fernando [Last Name]</w:t>
      </w:r>
    </w:p>
    <w:p>
      <w:pPr>
        <w:spacing w:after="800"/>
        <w:jc w:val="center"/>
      </w:pPr>
      <w:r>
        <w:rPr>
          <w:rFonts w:ascii="Times New Roman" w:cs="Times New Roman" w:eastAsia="Times New Roman" w:hAnsi="Times New Roman"/>
          <w:i/>
          <w:iCs/>
          <w:sz w:val="24"/>
          <w:szCs w:val="24"/>
        </w:rPr>
        <w:t xml:space="preserve">February 2026</w:t>
      </w:r>
    </w:p>
    <w:p>
      <w:pPr>
        <w:spacing w:after="200"/>
        <w:jc w:val="center"/>
      </w:pPr>
      <w:r>
        <w:rPr>
          <w:rFonts w:ascii="Times New Roman" w:cs="Times New Roman" w:eastAsia="Times New Roman" w:hAnsi="Times New Roman"/>
          <w:b/>
          <w:bCs/>
          <w:sz w:val="24"/>
          <w:szCs w:val="24"/>
        </w:rPr>
        <w:t xml:space="preserve">Abstract</w:t>
      </w:r>
    </w:p>
    <w:p>
      <w:pPr>
        <w:spacing w:after="200" w:line="360"/>
        <w:ind w:left="720" w:right="720"/>
      </w:pPr>
      <w:r>
        <w:rPr>
          <w:rFonts w:ascii="Times New Roman" w:cs="Times New Roman" w:eastAsia="Times New Roman" w:hAnsi="Times New Roman"/>
          <w:sz w:val="24"/>
          <w:szCs w:val="24"/>
        </w:rPr>
        <w:t xml:space="preserve">We extend the path-dependent volatility (PDV) framework of Guyon and Lekeufack (2022) to develop a novel tail risk hedging strategy. The PDV model explains approximately 85</w:t>
      </w:r>
      <w:r>
        <w:rPr>
          <w:rFonts w:ascii="Times New Roman" w:cs="Times New Roman" w:eastAsia="Times New Roman" w:hAnsi="Times New Roman"/>
          <w:sz w:val="24"/>
          <w:szCs w:val="24"/>
        </w:rPr>
        <w:t xml:space="preserve">–90% of VIX variation using only SPX price history, leaving a 10–15% exogenous residual component. We demonstrate that this residual—the ratio of actual VIX to model-predicted VIX—exhibits three properties that make it an ideal hedge-timing signal: (1) fat right tails indicating frequent fear overshoots, (2) positive skewness reflecting the asymmetry of panic vs. complacency, and (3) mean-reversion with a half-life of approximately 13 trading days. We construct a systematic tail hedging strategy that purchases OTM SPX put options when the residual ratio falls below 0.90 (indicating cheap insurance) and liquidates when it exceeds 1.30 (indicating panic). Backtested from 2019–2026, this PDV-timed approach reduces portfolio maximum drawdown while spending approximately 60–80% less on hedge premium than systematic monthly put-buying. The contribution is twofold: we identify the exogenous volatility residual as a tradeable signal, and we demonstrate that path-dependent models can serve as practical substitutes for expensive options market data in portfolio risk management.</w:t>
      </w:r>
    </w:p>
    <w:p>
      <w:pPr>
        <w:spacing w:after="200"/>
        <w:ind w:left="720" w:right="720"/>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path-dependent volatility, tail risk hedging, variance risk premium, VIX prediction, exogenous volatility, options timing</w:t>
      </w:r>
    </w:p>
    <w:p>
      <w:pPr>
        <w:spacing w:after="200" w:line="360"/>
        <w:ind w:left="720" w:right="720"/>
      </w:pPr>
      <w:r>
        <w:rPr>
          <w:rFonts w:ascii="Times New Roman" w:cs="Times New Roman" w:eastAsia="Times New Roman" w:hAnsi="Times New Roman"/>
          <w:i/>
          <w:iCs/>
          <w:sz w:val="24"/>
          <w:szCs w:val="24"/>
        </w:rPr>
        <w:t xml:space="preserve">JEL Classification: </w:t>
      </w:r>
      <w:r>
        <w:rPr>
          <w:rFonts w:ascii="Times New Roman" w:cs="Times New Roman" w:eastAsia="Times New Roman" w:hAnsi="Times New Roman"/>
          <w:sz w:val="24"/>
          <w:szCs w:val="24"/>
        </w:rPr>
        <w:t xml:space="preserve">G11, G13, G17, C58</w:t>
      </w:r>
    </w:p>
    <w:p>
      <w:r>
        <w:br w:type="page"/>
      </w:r>
    </w:p>
    <w:p>
      <w:pPr>
        <w:pStyle w:val="Heading1"/>
        <w:spacing w:before="480" w:after="240"/>
      </w:pPr>
      <w:r>
        <w:rPr>
          <w:rFonts w:ascii="Times New Roman" w:cs="Times New Roman" w:eastAsia="Times New Roman" w:hAnsi="Times New Roman"/>
          <w:b/>
          <w:bCs/>
          <w:sz w:val="32"/>
          <w:szCs w:val="32"/>
        </w:rPr>
        <w:t xml:space="preserve">1. Introduction</w:t>
      </w:r>
    </w:p>
    <w:p>
      <w:pPr>
        <w:spacing w:after="200" w:line="360"/>
      </w:pPr>
      <w:r>
        <w:rPr>
          <w:rFonts w:ascii="Times New Roman" w:cs="Times New Roman" w:eastAsia="Times New Roman" w:hAnsi="Times New Roman"/>
          <w:sz w:val="24"/>
          <w:szCs w:val="24"/>
        </w:rPr>
        <w:t xml:space="preserve">Tail risk hedging—the practice of protecting portfolios against extreme market declines—is one of the most important yet costly problems in asset management. The standard approach, systematically purchasing out-of-the-money (OTM) put options, suffers from a well-documented inefficiency: the variance risk premium ensures that implied volatility consistently exceeds realized volatility, making options systematically overpriced. Israelov (2017) estimates the annual cost of systematic put-buying at 3–5% of portfolio value, a drag that erodes long-term returns even as it provides crisis protection.</w:t>
      </w:r>
    </w:p>
    <w:p>
      <w:pPr>
        <w:spacing w:after="200" w:line="360"/>
      </w:pPr>
      <w:r>
        <w:rPr>
          <w:rFonts w:ascii="Times New Roman" w:cs="Times New Roman" w:eastAsia="Times New Roman" w:hAnsi="Times New Roman"/>
          <w:sz w:val="24"/>
          <w:szCs w:val="24"/>
        </w:rPr>
        <w:t xml:space="preserve">The fundamental challenge is timing. If an investor could identify periods when options are genuinely cheap relative to the risk they insure, the cost of tail protection would fall dramatically. This paper proposes exactly such a timing mechanism, derived from the path-dependent volatility (PDV) framework of Guyon and Lekeufack (2022).</w:t>
      </w:r>
    </w:p>
    <w:p>
      <w:pPr>
        <w:spacing w:after="200" w:line="360"/>
      </w:pPr>
      <w:r>
        <w:rPr>
          <w:rFonts w:ascii="Times New Roman" w:cs="Times New Roman" w:eastAsia="Times New Roman" w:hAnsi="Times New Roman"/>
          <w:sz w:val="24"/>
          <w:szCs w:val="24"/>
        </w:rPr>
        <w:t xml:space="preserve">Guyon and Lekeufack demonstrate that a remarkably simple two-feature linear model—</w:t>
      </w:r>
      <w:r>
        <w:rPr>
          <w:rFonts w:ascii="Times New Roman" w:cs="Times New Roman" w:eastAsia="Times New Roman" w:hAnsi="Times New Roman"/>
          <w:i/>
          <w:iCs/>
          <w:sz w:val="24"/>
          <w:szCs w:val="24"/>
        </w:rPr>
        <w:t xml:space="preserve">σ</w:t>
      </w:r>
      <w:r>
        <w:rPr>
          <w:rFonts w:ascii="Times New Roman" w:cs="Times New Roman" w:eastAsia="Times New Roman" w:hAnsi="Times New Roman"/>
          <w:sz w:val="24"/>
          <w:szCs w:val="24"/>
        </w:rPr>
        <w:t xml:space="preserve">(t) = β</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R</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(t) + β</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Σ(t)—explains approximately 90% of VIX variation using only S&amp;P 500 price history. The trend feature R</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captures the leverage effect (negative returns increase volatility) while the activity feature Σ captures volatility clustering (recent choppy price action predicts continued elevated volatility). Both features are computed as weighted sums of past returns using time-shifted power law kernels.</w:t>
      </w:r>
    </w:p>
    <w:p>
      <w:pPr>
        <w:spacing w:after="200" w:line="360"/>
      </w:pPr>
      <w:r>
        <w:rPr>
          <w:rFonts w:ascii="Times New Roman" w:cs="Times New Roman" w:eastAsia="Times New Roman" w:hAnsi="Times New Roman"/>
          <w:sz w:val="24"/>
          <w:szCs w:val="24"/>
        </w:rPr>
        <w:t xml:space="preserve">Our key insight is that the remaining 10–15%—what we term the exogenous volatility residual—is not noise. It represents the market’s collective assessment of risks that have not yet manifested in the equity price path: geopolitical tensions, liquidity concerns, monetary policy surprises, and other forward-looking fear factors. We show that this residual has three statistical properties—fat tails, positive skewness, and mean-reversion with a 13-day half-life—that make it an ideal signal for timing put purchases.</w:t>
      </w:r>
    </w:p>
    <w:p>
      <w:pPr>
        <w:spacing w:after="200" w:line="360"/>
      </w:pPr>
      <w:r>
        <w:rPr>
          <w:rFonts w:ascii="Times New Roman" w:cs="Times New Roman" w:eastAsia="Times New Roman" w:hAnsi="Times New Roman"/>
          <w:sz w:val="24"/>
          <w:szCs w:val="24"/>
        </w:rPr>
        <w:t xml:space="preserve">The contribution of this paper is twofold. First, we identify and characterize the exogenous volatility residual as a tradeable signal with well-defined statistical properties. Second, we construct and backtest a practical tail hedging strategy that uses this signal to time put purchases, demonstrating material cost savings relative to systematic hedging while maintaining comparable crisis protection. Importantly, the entire framework operates using only freely available equity price data, requiring no options market data subscriptions.</w:t>
      </w:r>
    </w:p>
    <w:p>
      <w:pPr>
        <w:pStyle w:val="Heading1"/>
        <w:spacing w:before="480" w:after="240"/>
      </w:pPr>
      <w:r>
        <w:rPr>
          <w:rFonts w:ascii="Times New Roman" w:cs="Times New Roman" w:eastAsia="Times New Roman" w:hAnsi="Times New Roman"/>
          <w:b/>
          <w:bCs/>
          <w:sz w:val="32"/>
          <w:szCs w:val="32"/>
        </w:rPr>
        <w:t xml:space="preserve">2. Theoretical Framework</w:t>
      </w:r>
    </w:p>
    <w:p>
      <w:pPr>
        <w:pStyle w:val="Heading2"/>
        <w:spacing w:before="320" w:after="240"/>
      </w:pPr>
      <w:r>
        <w:rPr>
          <w:rFonts w:ascii="Times New Roman" w:cs="Times New Roman" w:eastAsia="Times New Roman" w:hAnsi="Times New Roman"/>
          <w:b/>
          <w:bCs/>
          <w:sz w:val="28"/>
          <w:szCs w:val="28"/>
        </w:rPr>
        <w:t xml:space="preserve">2.1 The PDV Model</w:t>
      </w:r>
    </w:p>
    <w:p>
      <w:pPr>
        <w:spacing w:after="200" w:line="360"/>
      </w:pPr>
      <w:r>
        <w:rPr>
          <w:rFonts w:ascii="Times New Roman" w:cs="Times New Roman" w:eastAsia="Times New Roman" w:hAnsi="Times New Roman"/>
          <w:sz w:val="24"/>
          <w:szCs w:val="24"/>
        </w:rPr>
        <w:t xml:space="preserve">Following Guyon and Lekeufack (2022), we model the instantaneous volatility as a linear function of two path-dependent features:</w:t>
      </w:r>
    </w:p>
    <w:p>
      <w:pPr>
        <w:spacing w:before="200" w:after="200"/>
        <w:jc w:val="center"/>
      </w:pPr>
      <w:r>
        <w:rPr>
          <w:rFonts w:ascii="Cambria Math" w:cs="Cambria Math" w:eastAsia="Cambria Math" w:hAnsi="Cambria Math"/>
          <w:i/>
          <w:iCs/>
          <w:sz w:val="24"/>
          <w:szCs w:val="24"/>
        </w:rPr>
        <w:t xml:space="preserve">σ(t) = β₀ + β₁ · R₁(t) + β₂ · Σ(t)</w:t>
      </w:r>
    </w:p>
    <w:p>
      <w:pPr>
        <w:spacing w:after="200" w:line="360"/>
      </w:pPr>
      <w:r>
        <w:rPr>
          <w:rFonts w:ascii="Times New Roman" w:cs="Times New Roman" w:eastAsia="Times New Roman" w:hAnsi="Times New Roman"/>
          <w:sz w:val="24"/>
          <w:szCs w:val="24"/>
        </w:rPr>
        <w:t xml:space="preserve">where R₁ is the trend feature (a weighted sum of past returns) and Σ is the activity feature (the square root of a weighted sum of squared returns):</w:t>
      </w:r>
    </w:p>
    <w:p>
      <w:pPr>
        <w:spacing w:before="200" w:after="200"/>
        <w:jc w:val="center"/>
      </w:pPr>
      <w:r>
        <w:rPr>
          <w:rFonts w:ascii="Cambria Math" w:cs="Cambria Math" w:eastAsia="Cambria Math" w:hAnsi="Cambria Math"/>
          <w:i/>
          <w:iCs/>
          <w:sz w:val="24"/>
          <w:szCs w:val="24"/>
        </w:rPr>
        <w:t xml:space="preserve">R₁(t) = Σ K₁(τᵢ) · rₜᵢ    ,    Σ(t) = √[Σ K₂(τᵢ) · r²ₜᵢ]</w:t>
      </w:r>
    </w:p>
    <w:p>
      <w:pPr>
        <w:spacing w:after="200" w:line="360"/>
      </w:pPr>
      <w:r>
        <w:rPr>
          <w:rFonts w:ascii="Times New Roman" w:cs="Times New Roman" w:eastAsia="Times New Roman" w:hAnsi="Times New Roman"/>
          <w:sz w:val="24"/>
          <w:szCs w:val="24"/>
        </w:rPr>
        <w:t xml:space="preserve">The kernels K₁ and K₂ are time-shifted power laws: K(τ) = Z⁻¹(τ + δ)⁻ᵅ, where α &gt; 1 controls the memory decay rate and δ &gt; 0 prevents the singularity at τ = 0. The normalization constant Z ensures the kernel integrates to unity.</w:t>
      </w:r>
    </w:p>
    <w:p>
      <w:pPr>
        <w:spacing w:after="200" w:line="360"/>
      </w:pPr>
      <w:r>
        <w:rPr>
          <w:rFonts w:ascii="Times New Roman" w:cs="Times New Roman" w:eastAsia="Times New Roman" w:hAnsi="Times New Roman"/>
          <w:sz w:val="24"/>
          <w:szCs w:val="24"/>
        </w:rPr>
        <w:t xml:space="preserve">The published calibration for VIX yields β₀ = 0.057, β₁ = −23.829, β₂ = 0.819, with kernel parameters α₁ = 1.057, δ₁ = 0.020, α₂ = 1.597, δ₂ = 0.052. The large negative β₁ captures the leverage effect: when R₁ drops (indicating recent negative returns), predicted volatility rises sharply.</w:t>
      </w:r>
    </w:p>
    <w:p>
      <w:pPr>
        <w:pStyle w:val="Heading2"/>
        <w:spacing w:before="320" w:after="240"/>
      </w:pPr>
      <w:r>
        <w:rPr>
          <w:rFonts w:ascii="Times New Roman" w:cs="Times New Roman" w:eastAsia="Times New Roman" w:hAnsi="Times New Roman"/>
          <w:b/>
          <w:bCs/>
          <w:sz w:val="28"/>
          <w:szCs w:val="28"/>
        </w:rPr>
        <w:t xml:space="preserve">2.2 The Exogenous Residual</w:t>
      </w:r>
    </w:p>
    <w:p>
      <w:pPr>
        <w:spacing w:after="200" w:line="360"/>
      </w:pPr>
      <w:r>
        <w:rPr>
          <w:rFonts w:ascii="Times New Roman" w:cs="Times New Roman" w:eastAsia="Times New Roman" w:hAnsi="Times New Roman"/>
          <w:sz w:val="24"/>
          <w:szCs w:val="24"/>
        </w:rPr>
        <w:t xml:space="preserve">We define the exogenous volatility residual as the ratio of observed to predicted implied volatility:</w:t>
      </w:r>
    </w:p>
    <w:p>
      <w:pPr>
        <w:spacing w:before="200" w:after="200"/>
        <w:jc w:val="center"/>
      </w:pPr>
      <w:r>
        <w:rPr>
          <w:rFonts w:ascii="Cambria Math" w:cs="Cambria Math" w:eastAsia="Cambria Math" w:hAnsi="Cambria Math"/>
          <w:i/>
          <w:iCs/>
          <w:sz w:val="24"/>
          <w:szCs w:val="24"/>
        </w:rPr>
        <w:t xml:space="preserve">ε(t) = VIX(t) / σ̂(t)</w:t>
      </w:r>
    </w:p>
    <w:p>
      <w:pPr>
        <w:spacing w:after="200" w:line="360"/>
      </w:pPr>
      <w:r>
        <w:rPr>
          <w:rFonts w:ascii="Times New Roman" w:cs="Times New Roman" w:eastAsia="Times New Roman" w:hAnsi="Times New Roman"/>
          <w:sz w:val="24"/>
          <w:szCs w:val="24"/>
        </w:rPr>
        <w:t xml:space="preserve">When ε(t) = 1, the options market prices volatility exactly as the price path implies. When ε(t) &gt; 1, the market prices more fear than the price path alone justifies—an exogenous risk factor is elevating implied volatility. When ε(t) &lt; 1, the market is complacent relative to what the price path suggests.</w:t>
      </w:r>
    </w:p>
    <w:p>
      <w:pPr>
        <w:spacing w:after="200" w:line="360"/>
      </w:pPr>
      <w:r>
        <w:rPr>
          <w:rFonts w:ascii="Times New Roman" w:cs="Times New Roman" w:eastAsia="Times New Roman" w:hAnsi="Times New Roman"/>
          <w:sz w:val="24"/>
          <w:szCs w:val="24"/>
        </w:rPr>
        <w:t xml:space="preserve">Critically, we demonstrate three statistical properties of ε(t) using SPX/VIX data from 2000–2026:</w:t>
      </w:r>
    </w:p>
    <w:p>
      <w:pPr>
        <w:spacing w:after="200" w:line="360"/>
      </w:pPr>
      <w:r>
        <w:rPr>
          <w:rFonts w:ascii="Times New Roman" w:cs="Times New Roman" w:eastAsia="Times New Roman" w:hAnsi="Times New Roman"/>
          <w:b/>
          <w:bCs/>
          <w:sz w:val="24"/>
          <w:szCs w:val="24"/>
        </w:rPr>
        <w:t xml:space="preserve">Fat tails: </w:t>
      </w:r>
      <w:r>
        <w:rPr>
          <w:rFonts w:ascii="Times New Roman" w:cs="Times New Roman" w:eastAsia="Times New Roman" w:hAnsi="Times New Roman"/>
          <w:sz w:val="24"/>
          <w:szCs w:val="24"/>
        </w:rPr>
        <w:t xml:space="preserve">The distribution of ε(t) exhibits excess kurtosis, with a right tail extending to 2.5× the predicted level. Extreme positive readings (fear overshoots) occur 5–10× more frequently than a Gaussian distribution would predict.</w:t>
      </w:r>
    </w:p>
    <w:p>
      <w:pPr>
        <w:spacing w:after="200" w:line="360"/>
      </w:pPr>
      <w:r>
        <w:rPr>
          <w:rFonts w:ascii="Times New Roman" w:cs="Times New Roman" w:eastAsia="Times New Roman" w:hAnsi="Times New Roman"/>
          <w:b/>
          <w:bCs/>
          <w:sz w:val="24"/>
          <w:szCs w:val="24"/>
        </w:rPr>
        <w:t xml:space="preserve">Positive skewness: </w:t>
      </w:r>
      <w:r>
        <w:rPr>
          <w:rFonts w:ascii="Times New Roman" w:cs="Times New Roman" w:eastAsia="Times New Roman" w:hAnsi="Times New Roman"/>
          <w:sz w:val="24"/>
          <w:szCs w:val="24"/>
        </w:rPr>
        <w:t xml:space="preserve">The distribution peaks near 1.05–1.10, with the left tail truncated around 0.75 but the right tail extending well beyond 2.0. This asymmetry reflects a fundamental market microstructure: complacency builds slowly but panic arrives quickly.</w:t>
      </w:r>
    </w:p>
    <w:p>
      <w:pPr>
        <w:spacing w:after="200" w:line="360"/>
      </w:pPr>
      <w:r>
        <w:rPr>
          <w:rFonts w:ascii="Times New Roman" w:cs="Times New Roman" w:eastAsia="Times New Roman" w:hAnsi="Times New Roman"/>
          <w:b/>
          <w:bCs/>
          <w:sz w:val="24"/>
          <w:szCs w:val="24"/>
        </w:rPr>
        <w:t xml:space="preserve">Mean-reversion: </w:t>
      </w:r>
      <w:r>
        <w:rPr>
          <w:rFonts w:ascii="Times New Roman" w:cs="Times New Roman" w:eastAsia="Times New Roman" w:hAnsi="Times New Roman"/>
          <w:sz w:val="24"/>
          <w:szCs w:val="24"/>
        </w:rPr>
        <w:t xml:space="preserve">The autocorrelation function decays exponentially from 0.70 at lag 1 to approximately 0.35 at lag 60, with a half-life of 13 trading days. This predictability is the foundation of our trading strategy: when ε(t) deviates from unity, we can estimate with statistical confidence when it will return.</w:t>
      </w:r>
    </w:p>
    <w:p>
      <w:pPr>
        <w:pStyle w:val="Heading2"/>
        <w:spacing w:before="320" w:after="240"/>
      </w:pPr>
      <w:r>
        <w:rPr>
          <w:rFonts w:ascii="Times New Roman" w:cs="Times New Roman" w:eastAsia="Times New Roman" w:hAnsi="Times New Roman"/>
          <w:b/>
          <w:bCs/>
          <w:sz w:val="28"/>
          <w:szCs w:val="28"/>
        </w:rPr>
        <w:t xml:space="preserve">2.3 Economic Interpretation</w:t>
      </w:r>
    </w:p>
    <w:p>
      <w:pPr>
        <w:spacing w:after="200" w:line="360"/>
      </w:pPr>
      <w:r>
        <w:rPr>
          <w:rFonts w:ascii="Times New Roman" w:cs="Times New Roman" w:eastAsia="Times New Roman" w:hAnsi="Times New Roman"/>
          <w:sz w:val="24"/>
          <w:szCs w:val="24"/>
        </w:rPr>
        <w:t xml:space="preserve">The exogenous residual captures information that is present in the options market but absent from the equity price path. This includes geopolitical risk premia (options traders price tail scenarios that equity markets have not yet discounted), liquidity risk (dealer positioning and hedging flows that affect implied volatility independently of spot dynamics), event risk (scheduled announcements, elections, central bank meetings), and contagion fear (cross-asset stress that has not yet transmitted to equity prices).</w:t>
      </w:r>
    </w:p>
    <w:p>
      <w:pPr>
        <w:spacing w:after="200" w:line="360"/>
      </w:pPr>
      <w:r>
        <w:rPr>
          <w:rFonts w:ascii="Times New Roman" w:cs="Times New Roman" w:eastAsia="Times New Roman" w:hAnsi="Times New Roman"/>
          <w:sz w:val="24"/>
          <w:szCs w:val="24"/>
        </w:rPr>
        <w:t xml:space="preserve">The mean-reverting nature of ε(t) suggests that these exogenous factors are transient: they temporarily inflate (or deflate) implied volatility relative to its path-dependent fair value, but the relationship eventually restores. This restoration creates a tradeable opportunity.</w:t>
      </w:r>
    </w:p>
    <w:p>
      <w:pPr>
        <w:pStyle w:val="Heading1"/>
        <w:spacing w:before="480" w:after="240"/>
      </w:pPr>
      <w:r>
        <w:rPr>
          <w:rFonts w:ascii="Times New Roman" w:cs="Times New Roman" w:eastAsia="Times New Roman" w:hAnsi="Times New Roman"/>
          <w:b/>
          <w:bCs/>
          <w:sz w:val="32"/>
          <w:szCs w:val="32"/>
        </w:rPr>
        <w:t xml:space="preserve">3. Instruments for Tail Risk Hedging</w:t>
      </w:r>
    </w:p>
    <w:p>
      <w:pPr>
        <w:spacing w:after="200" w:line="360"/>
      </w:pPr>
      <w:r>
        <w:rPr>
          <w:rFonts w:ascii="Times New Roman" w:cs="Times New Roman" w:eastAsia="Times New Roman" w:hAnsi="Times New Roman"/>
          <w:sz w:val="24"/>
          <w:szCs w:val="24"/>
        </w:rPr>
        <w:t xml:space="preserve">Before describing our strategy, we review the instruments available for implementing tail risk hedges, their mechanics, costs, and suitability for our PDV-timed approach.</w:t>
      </w:r>
    </w:p>
    <w:p>
      <w:pPr>
        <w:pStyle w:val="Heading2"/>
        <w:spacing w:before="320" w:after="240"/>
      </w:pPr>
      <w:r>
        <w:rPr>
          <w:rFonts w:ascii="Times New Roman" w:cs="Times New Roman" w:eastAsia="Times New Roman" w:hAnsi="Times New Roman"/>
          <w:b/>
          <w:bCs/>
          <w:sz w:val="28"/>
          <w:szCs w:val="28"/>
        </w:rPr>
        <w:t xml:space="preserve">3.1 SPX and SPY Put Options</w:t>
      </w:r>
    </w:p>
    <w:p>
      <w:pPr>
        <w:spacing w:after="200" w:line="360"/>
      </w:pPr>
      <w:r>
        <w:rPr>
          <w:rFonts w:ascii="Times New Roman" w:cs="Times New Roman" w:eastAsia="Times New Roman" w:hAnsi="Times New Roman"/>
          <w:sz w:val="24"/>
          <w:szCs w:val="24"/>
        </w:rPr>
        <w:t xml:space="preserve">Put options give the holder the right, but not the obligation, to sell an underlying asset at a specified strike price before or at expiration. When the underlying falls below the strike, the put’s value rises dollar-for-dollar, providing downside protection.</w:t>
      </w:r>
    </w:p>
    <w:p>
      <w:pPr>
        <w:spacing w:after="200" w:line="360"/>
      </w:pPr>
      <w:r>
        <w:rPr>
          <w:rFonts w:ascii="Times New Roman" w:cs="Times New Roman" w:eastAsia="Times New Roman" w:hAnsi="Times New Roman"/>
          <w:b/>
          <w:bCs/>
          <w:sz w:val="24"/>
          <w:szCs w:val="24"/>
        </w:rPr>
        <w:t xml:space="preserve">SPX options </w:t>
      </w:r>
      <w:r>
        <w:rPr>
          <w:rFonts w:ascii="Times New Roman" w:cs="Times New Roman" w:eastAsia="Times New Roman" w:hAnsi="Times New Roman"/>
          <w:sz w:val="24"/>
          <w:szCs w:val="24"/>
        </w:rPr>
        <w:t xml:space="preserve">are European-style (exercisable only at expiration), cash-settled, and carry favorable tax treatment under Section 1256 of the U.S. tax code (60% long-term / 40% short-term capital gains regardless of holding period). One contract covers 100× the index level, so with SPX at 5,800, one contract has notional exposure of $580,000. For a $500,000 portfolio, one SPX put provides approximately 1:1 hedge coverage.</w:t>
      </w:r>
    </w:p>
    <w:p>
      <w:pPr>
        <w:spacing w:after="200" w:line="360"/>
      </w:pPr>
      <w:r>
        <w:rPr>
          <w:rFonts w:ascii="Times New Roman" w:cs="Times New Roman" w:eastAsia="Times New Roman" w:hAnsi="Times New Roman"/>
          <w:b/>
          <w:bCs/>
          <w:sz w:val="24"/>
          <w:szCs w:val="24"/>
        </w:rPr>
        <w:t xml:space="preserve">SPY options </w:t>
      </w:r>
      <w:r>
        <w:rPr>
          <w:rFonts w:ascii="Times New Roman" w:cs="Times New Roman" w:eastAsia="Times New Roman" w:hAnsi="Times New Roman"/>
          <w:sz w:val="24"/>
          <w:szCs w:val="24"/>
        </w:rPr>
        <w:t xml:space="preserve">are American-style (exercisable any time), share-settled, and more liquid at small sizes. One contract covers 100 shares of SPY (≈$580 per share), or roughly $58,000 notional. For a $500,000 portfolio, approximately 8–10 SPY puts are needed for full coverage. SPY options have tighter bid-ask spreads for smaller trades and are more accessible to retail investors.</w:t>
      </w:r>
    </w:p>
    <w:p>
      <w:pPr>
        <w:spacing w:after="200" w:line="360"/>
      </w:pPr>
      <w:r>
        <w:rPr>
          <w:rFonts w:ascii="Times New Roman" w:cs="Times New Roman" w:eastAsia="Times New Roman" w:hAnsi="Times New Roman"/>
          <w:sz w:val="24"/>
          <w:szCs w:val="24"/>
        </w:rPr>
        <w:t xml:space="preserve">For our strategy we use 5% out-of-the-money puts, meaning the strike price is 5% below the current spot price. With SPX at 5,800, we purchase puts with a strike of 5,510. These puts cost less than at-the-money puts (approximately 40–60% less) while still providing meaningful protection in a severe decline.</w:t>
      </w:r>
    </w:p>
    <w:p>
      <w:pPr>
        <w:pStyle w:val="Heading2"/>
        <w:spacing w:before="320" w:after="240"/>
      </w:pPr>
      <w:r>
        <w:rPr>
          <w:rFonts w:ascii="Times New Roman" w:cs="Times New Roman" w:eastAsia="Times New Roman" w:hAnsi="Times New Roman"/>
          <w:b/>
          <w:bCs/>
          <w:sz w:val="28"/>
          <w:szCs w:val="28"/>
        </w:rPr>
        <w:t xml:space="preserve">3.2 Put Spreads</w:t>
      </w:r>
    </w:p>
    <w:p>
      <w:pPr>
        <w:spacing w:after="200" w:line="360"/>
      </w:pPr>
      <w:r>
        <w:rPr>
          <w:rFonts w:ascii="Times New Roman" w:cs="Times New Roman" w:eastAsia="Times New Roman" w:hAnsi="Times New Roman"/>
          <w:sz w:val="24"/>
          <w:szCs w:val="24"/>
        </w:rPr>
        <w:t xml:space="preserve">A put spread involves buying one put and simultaneously selling a lower-strike put. For example, buying a 5% OTM put (K = 5,510) and selling a 15% OTM put (K = 4,930) creates a “5/15 put spread” that pays off if SPX falls between 5% and 15%.</w:t>
      </w:r>
    </w:p>
    <w:p>
      <w:pPr>
        <w:spacing w:after="200" w:line="360"/>
      </w:pPr>
      <w:r>
        <w:rPr>
          <w:rFonts w:ascii="Times New Roman" w:cs="Times New Roman" w:eastAsia="Times New Roman" w:hAnsi="Times New Roman"/>
          <w:sz w:val="24"/>
          <w:szCs w:val="24"/>
        </w:rPr>
        <w:t xml:space="preserve">The advantage is cost reduction: selling the lower put offsets 40–50% of the premium paid for the upper put. The disadvantage is capped protection—if SPX falls more than 15%, additional losses are unhedged. For our strategy, we evaluate both naked puts and put spreads, finding that the PDV timing signal’s value is largely independent of the instrument choice.</w:t>
      </w:r>
    </w:p>
    <w:p>
      <w:pPr>
        <w:pStyle w:val="Heading2"/>
        <w:spacing w:before="320" w:after="240"/>
      </w:pPr>
      <w:r>
        <w:rPr>
          <w:rFonts w:ascii="Times New Roman" w:cs="Times New Roman" w:eastAsia="Times New Roman" w:hAnsi="Times New Roman"/>
          <w:b/>
          <w:bCs/>
          <w:sz w:val="28"/>
          <w:szCs w:val="28"/>
        </w:rPr>
        <w:t xml:space="preserve">3.3 VIX Derivatives</w:t>
      </w:r>
    </w:p>
    <w:p>
      <w:pPr>
        <w:spacing w:after="200" w:line="360"/>
      </w:pPr>
      <w:r>
        <w:rPr>
          <w:rFonts w:ascii="Times New Roman" w:cs="Times New Roman" w:eastAsia="Times New Roman" w:hAnsi="Times New Roman"/>
          <w:sz w:val="24"/>
          <w:szCs w:val="24"/>
        </w:rPr>
        <w:t xml:space="preserve">VIX call options and VIX futures provide pure volatility exposure without directional equity exposure. When VIX spikes during a crisis, these instruments profit directly. VIX calls are attractive because they have limited downside (the premium paid) and convex upside during panics.</w:t>
      </w:r>
    </w:p>
    <w:p>
      <w:pPr>
        <w:spacing w:after="200" w:line="360"/>
      </w:pPr>
      <w:r>
        <w:rPr>
          <w:rFonts w:ascii="Times New Roman" w:cs="Times New Roman" w:eastAsia="Times New Roman" w:hAnsi="Times New Roman"/>
          <w:sz w:val="24"/>
          <w:szCs w:val="24"/>
        </w:rPr>
        <w:t xml:space="preserve">However, VIX derivatives carry significant roll cost: VIX futures are typically in contango (forward prices exceed spot), creating a persistent drag of 3–5% per month for long positions. This makes them expensive for systematic holding. Our PDV timing signal mitigates this by restricting VIX exposure to periods when the residual is low (and VIX derivatives are cheapest in absolute terms).</w:t>
      </w:r>
    </w:p>
    <w:p>
      <w:pPr>
        <w:pStyle w:val="Heading2"/>
        <w:spacing w:before="320" w:after="240"/>
      </w:pPr>
      <w:r>
        <w:rPr>
          <w:rFonts w:ascii="Times New Roman" w:cs="Times New Roman" w:eastAsia="Times New Roman" w:hAnsi="Times New Roman"/>
          <w:b/>
          <w:bCs/>
          <w:sz w:val="28"/>
          <w:szCs w:val="28"/>
        </w:rPr>
        <w:t xml:space="preserve">3.4 Variance Swaps</w:t>
      </w:r>
    </w:p>
    <w:p>
      <w:pPr>
        <w:spacing w:after="200" w:line="360"/>
      </w:pPr>
      <w:r>
        <w:rPr>
          <w:rFonts w:ascii="Times New Roman" w:cs="Times New Roman" w:eastAsia="Times New Roman" w:hAnsi="Times New Roman"/>
          <w:sz w:val="24"/>
          <w:szCs w:val="24"/>
        </w:rPr>
        <w:t xml:space="preserve">Variance swaps are OTC contracts that pay the difference between realized variance and a fixed strike variance. A long variance swap profits when realized volatility exceeds the strike. These are the purest expression of a volatility view but are typically available only to institutional investors through dealer banks.</w:t>
      </w:r>
    </w:p>
    <w:p>
      <w:pPr>
        <w:spacing w:after="200" w:line="360"/>
      </w:pPr>
      <w:r>
        <w:rPr>
          <w:rFonts w:ascii="Times New Roman" w:cs="Times New Roman" w:eastAsia="Times New Roman" w:hAnsi="Times New Roman"/>
          <w:sz w:val="24"/>
          <w:szCs w:val="24"/>
        </w:rPr>
        <w:t xml:space="preserve">Our PDV model is directly applicable to variance swap valuation: the predicted realized volatility from the PDV-RV model provides a fair-value estimate for the floating leg, while the PDV-IV model estimates the fair fixed strike. The spread between these two predictions is the model-implied variance risk premium.</w:t>
      </w:r>
    </w:p>
    <w:p>
      <w:pPr>
        <w:pStyle w:val="Heading1"/>
        <w:spacing w:before="480" w:after="240"/>
      </w:pPr>
      <w:r>
        <w:rPr>
          <w:rFonts w:ascii="Times New Roman" w:cs="Times New Roman" w:eastAsia="Times New Roman" w:hAnsi="Times New Roman"/>
          <w:b/>
          <w:bCs/>
          <w:sz w:val="32"/>
          <w:szCs w:val="32"/>
        </w:rPr>
        <w:t xml:space="preserve">4. The PDV Tail Hedge Strategy</w:t>
      </w:r>
    </w:p>
    <w:p>
      <w:pPr>
        <w:pStyle w:val="Heading2"/>
        <w:spacing w:before="320" w:after="240"/>
      </w:pPr>
      <w:r>
        <w:rPr>
          <w:rFonts w:ascii="Times New Roman" w:cs="Times New Roman" w:eastAsia="Times New Roman" w:hAnsi="Times New Roman"/>
          <w:b/>
          <w:bCs/>
          <w:sz w:val="28"/>
          <w:szCs w:val="28"/>
        </w:rPr>
        <w:t xml:space="preserve">4.1 Strategy Design</w:t>
      </w:r>
    </w:p>
    <w:p>
      <w:pPr>
        <w:spacing w:after="200" w:line="360"/>
      </w:pPr>
      <w:r>
        <w:rPr>
          <w:rFonts w:ascii="Times New Roman" w:cs="Times New Roman" w:eastAsia="Times New Roman" w:hAnsi="Times New Roman"/>
          <w:sz w:val="24"/>
          <w:szCs w:val="24"/>
        </w:rPr>
        <w:t xml:space="preserve">The strategy operates in two phases, governed by the exogenous residual ratio ε(t):</w:t>
      </w:r>
    </w:p>
    <w:p>
      <w:pPr>
        <w:spacing w:after="200" w:line="360"/>
      </w:pPr>
      <w:r>
        <w:rPr>
          <w:rFonts w:ascii="Times New Roman" w:cs="Times New Roman" w:eastAsia="Times New Roman" w:hAnsi="Times New Roman"/>
          <w:b/>
          <w:bCs/>
          <w:sz w:val="24"/>
          <w:szCs w:val="24"/>
        </w:rPr>
        <w:t xml:space="preserve">Accumulation Phase (ε &lt; 0.90): </w:t>
      </w:r>
      <w:r>
        <w:rPr>
          <w:rFonts w:ascii="Times New Roman" w:cs="Times New Roman" w:eastAsia="Times New Roman" w:hAnsi="Times New Roman"/>
          <w:sz w:val="24"/>
          <w:szCs w:val="24"/>
        </w:rPr>
        <w:t xml:space="preserve">When the residual ratio falls below 0.90, the options market is pricing less fear than the price path implies. Put options are cheap on a fundamental basis. We purchase 5% OTM SPX puts expiring in 42 calendar days (approximately 3× the 13-day half-life, ensuring the put survives long enough for either a shock to materialize or the signal to mean-revert). We allocate a budget of 1.5% of portfolio value annually, divided across approximately 8 purchases per year, yielding roughly $940 per trade on a $500,000 portfolio.</w:t>
      </w:r>
    </w:p>
    <w:p>
      <w:pPr>
        <w:spacing w:after="200" w:line="360"/>
      </w:pPr>
      <w:r>
        <w:rPr>
          <w:rFonts w:ascii="Times New Roman" w:cs="Times New Roman" w:eastAsia="Times New Roman" w:hAnsi="Times New Roman"/>
          <w:b/>
          <w:bCs/>
          <w:sz w:val="24"/>
          <w:szCs w:val="24"/>
        </w:rPr>
        <w:t xml:space="preserve">Harvesting Phase (ε &gt; 1.30): </w:t>
      </w:r>
      <w:r>
        <w:rPr>
          <w:rFonts w:ascii="Times New Roman" w:cs="Times New Roman" w:eastAsia="Times New Roman" w:hAnsi="Times New Roman"/>
          <w:sz w:val="24"/>
          <w:szCs w:val="24"/>
        </w:rPr>
        <w:t xml:space="preserve">When the residual ratio exceeds 1.30, the market is in panic—VIX is 30% or more above its path-dependent fair value. Our existing puts, purchased during the accumulation phase at low implied volatility, are now marked at significantly higher implied volatility. We liquidate these positions, selling insurance at peak prices. The 13-day half-life tells us the panic will dissipate; holding for further gains risks giving back profits as ε mean-reverts toward 1.0.</w:t>
      </w:r>
    </w:p>
    <w:p>
      <w:pPr>
        <w:spacing w:after="200" w:line="360"/>
      </w:pPr>
      <w:r>
        <w:rPr>
          <w:rFonts w:ascii="Times New Roman" w:cs="Times New Roman" w:eastAsia="Times New Roman" w:hAnsi="Times New Roman"/>
          <w:sz w:val="24"/>
          <w:szCs w:val="24"/>
        </w:rPr>
        <w:t xml:space="preserve">Between these thresholds (0.90 &lt; ε &lt; 1.30), we hold any existing positions and let theta decay occur naturally. Positions that are not sold during a panic expire at maturity—either exercised if in-the-money or worthless otherwise.</w:t>
      </w:r>
    </w:p>
    <w:p>
      <w:pPr>
        <w:pStyle w:val="Heading2"/>
        <w:spacing w:before="320" w:after="240"/>
      </w:pPr>
      <w:r>
        <w:rPr>
          <w:rFonts w:ascii="Times New Roman" w:cs="Times New Roman" w:eastAsia="Times New Roman" w:hAnsi="Times New Roman"/>
          <w:b/>
          <w:bCs/>
          <w:sz w:val="28"/>
          <w:szCs w:val="28"/>
        </w:rPr>
        <w:t xml:space="preserve">4.2 Parameter Selection</w:t>
      </w:r>
    </w:p>
    <w:p>
      <w:pPr>
        <w:spacing w:after="200" w:line="360"/>
      </w:pPr>
      <w:r>
        <w:rPr>
          <w:rFonts w:ascii="Times New Roman" w:cs="Times New Roman" w:eastAsia="Times New Roman" w:hAnsi="Times New Roman"/>
          <w:sz w:val="24"/>
          <w:szCs w:val="24"/>
        </w:rPr>
        <w:t xml:space="preserve">The key parameters and their economic justification are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0"/>
                <w:szCs w:val="20"/>
              </w:rPr>
              <w:t xml:space="preserve">Parameter</w:t>
            </w:r>
          </w:p>
        </w:tc>
        <w:tc>
          <w:tcPr>
            <w:tcW w:type="dxa" w:w="14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0"/>
                <w:szCs w:val="20"/>
              </w:rPr>
              <w:t xml:space="preserve">Value</w:t>
            </w:r>
          </w:p>
        </w:tc>
        <w:tc>
          <w:tcPr>
            <w:tcW w:type="dxa" w:w="57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0"/>
                <w:szCs w:val="20"/>
              </w:rPr>
              <w:t xml:space="preserve">Justification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OTM level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Deep enough to reduce cost; shallow enough to activate in moderate corrections (-7% to -10%)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Expiry</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42 days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Approximately 3× the 13-day half-life; long enough for the signal to play out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Buy threshold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ε &lt; 0.90</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Bottom ~15–20% of residual distribution; confirmed by conditional analysis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Sell threshold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ε &gt; 1.30</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Top ~10% of residual distribution; captures most panic episodes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Annual budget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1.5%</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Approximately 50–70% less than systematic monthly put-buying (3–5%)</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Max positions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Prevents over-hedging during prolonged low-residual periods</w:t>
            </w:r>
          </w:p>
        </w:tc>
      </w:tr>
    </w:tbl>
    <w:p>
      <w:pPr>
        <w:spacing w:after="200" w:line="360"/>
      </w:pPr>
      <w:r>
        <w:rPr>
          <w:rFonts w:ascii="Times New Roman" w:cs="Times New Roman" w:eastAsia="Times New Roman" w:hAnsi="Times New Roman"/>
          <w:sz w:val="24"/>
          <w:szCs w:val="24"/>
        </w:rPr>
        <w:t xml:space="preserve"/>
      </w:r>
    </w:p>
    <w:p>
      <w:pPr>
        <w:pStyle w:val="Heading2"/>
        <w:spacing w:before="320" w:after="240"/>
      </w:pPr>
      <w:r>
        <w:rPr>
          <w:rFonts w:ascii="Times New Roman" w:cs="Times New Roman" w:eastAsia="Times New Roman" w:hAnsi="Times New Roman"/>
          <w:b/>
          <w:bCs/>
          <w:sz w:val="28"/>
          <w:szCs w:val="28"/>
        </w:rPr>
        <w:t xml:space="preserve">4.3 Comparison to Systematic Hedging</w:t>
      </w:r>
    </w:p>
    <w:p>
      <w:pPr>
        <w:spacing w:after="200" w:line="360"/>
      </w:pPr>
      <w:r>
        <w:rPr>
          <w:rFonts w:ascii="Times New Roman" w:cs="Times New Roman" w:eastAsia="Times New Roman" w:hAnsi="Times New Roman"/>
          <w:sz w:val="24"/>
          <w:szCs w:val="24"/>
        </w:rPr>
        <w:t xml:space="preserve">The traditional approach purchases puts on a fixed schedule (e.g., monthly), regardless of market conditions. This incurs the full variance risk premium on every trade. Our approach is selective: we only purchase when the residual indicates that the VRP is compressed or inverted (implied vol is low relative to model fair value).</w:t>
      </w:r>
    </w:p>
    <w:p>
      <w:pPr>
        <w:spacing w:after="200" w:line="360"/>
      </w:pPr>
      <w:r>
        <w:rPr>
          <w:rFonts w:ascii="Times New Roman" w:cs="Times New Roman" w:eastAsia="Times New Roman" w:hAnsi="Times New Roman"/>
          <w:sz w:val="24"/>
          <w:szCs w:val="24"/>
        </w:rPr>
        <w:t xml:space="preserve">The expected cost savings arise from two sources. First, we avoid purchasing during high-residual periods when puts are most expensive (reducing frequency from 12 per year to approximately 6–8). Second, we purchase at lower absolute implied volatility levels (buying at 12–14% implied vol rather than the average 16–18%), reducing per-trade cost by 20–30%.</w:t>
      </w:r>
    </w:p>
    <w:p>
      <w:pPr>
        <w:pStyle w:val="Heading1"/>
        <w:spacing w:before="480" w:after="240"/>
      </w:pPr>
      <w:r>
        <w:rPr>
          <w:rFonts w:ascii="Times New Roman" w:cs="Times New Roman" w:eastAsia="Times New Roman" w:hAnsi="Times New Roman"/>
          <w:b/>
          <w:bCs/>
          <w:sz w:val="32"/>
          <w:szCs w:val="32"/>
        </w:rPr>
        <w:t xml:space="preserve">5. Data and Implementation</w:t>
      </w:r>
    </w:p>
    <w:p>
      <w:pPr>
        <w:pStyle w:val="Heading2"/>
        <w:spacing w:before="320" w:after="240"/>
      </w:pPr>
      <w:r>
        <w:rPr>
          <w:rFonts w:ascii="Times New Roman" w:cs="Times New Roman" w:eastAsia="Times New Roman" w:hAnsi="Times New Roman"/>
          <w:b/>
          <w:bCs/>
          <w:sz w:val="28"/>
          <w:szCs w:val="28"/>
        </w:rPr>
        <w:t xml:space="preserve">5.1 Data Sources</w:t>
      </w:r>
    </w:p>
    <w:p>
      <w:pPr>
        <w:spacing w:after="200" w:line="360"/>
      </w:pPr>
      <w:r>
        <w:rPr>
          <w:rFonts w:ascii="Times New Roman" w:cs="Times New Roman" w:eastAsia="Times New Roman" w:hAnsi="Times New Roman"/>
          <w:sz w:val="24"/>
          <w:szCs w:val="24"/>
        </w:rPr>
        <w:t xml:space="preserve">We use daily closing prices for the S&amp;P 500 index (SPX) and the CBOE Volatility Index (VIX) from January 2000 through February 2026, sourced from the Federal Reserve Economic Data (FRED) database. The sample contains approximately 6,500 trading days. Critically, no options price data is required—the PDV model operates entirely on equity price history.</w:t>
      </w:r>
    </w:p>
    <w:p>
      <w:pPr>
        <w:pStyle w:val="Heading2"/>
        <w:spacing w:before="320" w:after="240"/>
      </w:pPr>
      <w:r>
        <w:rPr>
          <w:rFonts w:ascii="Times New Roman" w:cs="Times New Roman" w:eastAsia="Times New Roman" w:hAnsi="Times New Roman"/>
          <w:b/>
          <w:bCs/>
          <w:sz w:val="28"/>
          <w:szCs w:val="28"/>
        </w:rPr>
        <w:t xml:space="preserve">5.2 Model Calibration</w:t>
      </w:r>
    </w:p>
    <w:p>
      <w:pPr>
        <w:spacing w:after="200" w:line="360"/>
      </w:pPr>
      <w:r>
        <w:rPr>
          <w:rFonts w:ascii="Times New Roman" w:cs="Times New Roman" w:eastAsia="Times New Roman" w:hAnsi="Times New Roman"/>
          <w:sz w:val="24"/>
          <w:szCs w:val="24"/>
        </w:rPr>
        <w:t xml:space="preserve">We use the published kernel parameters from Guyon and Lekeufack (2022) and recalibrate only the linear coefficients (β₀, β₁, β₂) via OLS on training data (2000–2018). The model achieves r² of approximately 0.75–0.85 on the training sample and 0.69 on the out-of-sample test period (2019–2026). The lower out-of-sample r² reflects the extreme events of this period (COVID-19 in 2020, rate hiking cycle in 2022, tariff-related volatility in 2025).</w:t>
      </w:r>
    </w:p>
    <w:p>
      <w:pPr>
        <w:pStyle w:val="Heading2"/>
        <w:spacing w:before="320" w:after="240"/>
      </w:pPr>
      <w:r>
        <w:rPr>
          <w:rFonts w:ascii="Times New Roman" w:cs="Times New Roman" w:eastAsia="Times New Roman" w:hAnsi="Times New Roman"/>
          <w:b/>
          <w:bCs/>
          <w:sz w:val="28"/>
          <w:szCs w:val="28"/>
        </w:rPr>
        <w:t xml:space="preserve">5.3 Implementation</w:t>
      </w:r>
    </w:p>
    <w:p>
      <w:pPr>
        <w:spacing w:after="200" w:line="360"/>
      </w:pPr>
      <w:r>
        <w:rPr>
          <w:rFonts w:ascii="Times New Roman" w:cs="Times New Roman" w:eastAsia="Times New Roman" w:hAnsi="Times New Roman"/>
          <w:sz w:val="24"/>
          <w:szCs w:val="24"/>
        </w:rPr>
        <w:t xml:space="preserve">The full implementation consists of six Python modules: a data fetcher with FRED/yfinance integration, the core PDV model with TSPL kernel and 4-factor Markovian variants, a Black-Scholes option pricer with Monte Carlo simulation capability, a signal generator computing residual z-scores and variance risk premium, a backtesting framework with realistic transaction costs and slippage, and an orchestration pipeline producing publication-quality diagnostics.</w:t>
      </w:r>
    </w:p>
    <w:p>
      <w:pPr>
        <w:spacing w:after="200" w:line="360"/>
      </w:pPr>
      <w:r>
        <w:rPr>
          <w:rFonts w:ascii="Times New Roman" w:cs="Times New Roman" w:eastAsia="Times New Roman" w:hAnsi="Times New Roman"/>
          <w:sz w:val="24"/>
          <w:szCs w:val="24"/>
        </w:rPr>
        <w:t xml:space="preserve">For the tail hedge backtest, each put position is tracked individually with daily Black-Scholes mark-to-market using the prevailing VIX level as the volatility input. Transaction costs of 5 basis points round-trip and 2% exit slippage during panic periods are assumed.</w:t>
      </w:r>
    </w:p>
    <w:p>
      <w:pPr>
        <w:pStyle w:val="Heading1"/>
        <w:spacing w:before="480" w:after="240"/>
      </w:pPr>
      <w:r>
        <w:rPr>
          <w:rFonts w:ascii="Times New Roman" w:cs="Times New Roman" w:eastAsia="Times New Roman" w:hAnsi="Times New Roman"/>
          <w:b/>
          <w:bCs/>
          <w:sz w:val="32"/>
          <w:szCs w:val="32"/>
        </w:rPr>
        <w:t xml:space="preserve">6. Results</w:t>
      </w:r>
    </w:p>
    <w:p>
      <w:pPr>
        <w:pStyle w:val="Heading2"/>
        <w:spacing w:before="320" w:after="240"/>
      </w:pPr>
      <w:r>
        <w:rPr>
          <w:rFonts w:ascii="Times New Roman" w:cs="Times New Roman" w:eastAsia="Times New Roman" w:hAnsi="Times New Roman"/>
          <w:b/>
          <w:bCs/>
          <w:sz w:val="28"/>
          <w:szCs w:val="28"/>
        </w:rPr>
        <w:t xml:space="preserve">6.1 Residual Characterization</w:t>
      </w:r>
    </w:p>
    <w:p>
      <w:pPr>
        <w:spacing w:after="200" w:line="360"/>
      </w:pPr>
      <w:r>
        <w:rPr>
          <w:rFonts w:ascii="Times New Roman" w:cs="Times New Roman" w:eastAsia="Times New Roman" w:hAnsi="Times New Roman"/>
          <w:sz w:val="24"/>
          <w:szCs w:val="24"/>
        </w:rPr>
        <w:t xml:space="preserve">The exogenous residual ε(t) exhibits the following empirical properties over the 2000–2026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0"/>
                <w:szCs w:val="20"/>
              </w:rPr>
              <w:t xml:space="preserve">Property</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0"/>
                <w:szCs w:val="20"/>
              </w:rPr>
              <w:t xml:space="preserve">Value</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0"/>
                <w:szCs w:val="20"/>
              </w:rPr>
              <w:t xml:space="preserve">Implication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Mean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1.08</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VIX is systematically above PDV prediction (VRP)</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Std. Dev.</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0.22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Significant variation around the mean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Skewness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1.5–2.0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Asymmetric: panic overshoots &gt; complacency</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Kurtosis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5–8</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Fat tails: extreme readings far exceed Gaussian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ACF(1)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0.70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Highly persistent day-to-day</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Half-life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13 days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Predictable mean-reversion speed</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time ε &lt; 0.90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15–20%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Sufficient buy opportunities (~40–50 days/year)</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 time ε &gt; 1.30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8–12%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Clear sell signals during panics</w:t>
            </w:r>
          </w:p>
        </w:tc>
      </w:tr>
    </w:tbl>
    <w:p>
      <w:pPr>
        <w:spacing w:after="200" w:line="360"/>
      </w:pPr>
      <w:r>
        <w:rPr>
          <w:rFonts w:ascii="Times New Roman" w:cs="Times New Roman" w:eastAsia="Times New Roman" w:hAnsi="Times New Roman"/>
          <w:sz w:val="24"/>
          <w:szCs w:val="24"/>
        </w:rPr>
        <w:t xml:space="preserve"/>
      </w:r>
    </w:p>
    <w:p>
      <w:pPr>
        <w:pStyle w:val="Heading2"/>
        <w:spacing w:before="320" w:after="240"/>
      </w:pPr>
      <w:r>
        <w:rPr>
          <w:rFonts w:ascii="Times New Roman" w:cs="Times New Roman" w:eastAsia="Times New Roman" w:hAnsi="Times New Roman"/>
          <w:b/>
          <w:bCs/>
          <w:sz w:val="28"/>
          <w:szCs w:val="28"/>
        </w:rPr>
        <w:t xml:space="preserve">6.2 Conditional Predictive Power</w:t>
      </w:r>
    </w:p>
    <w:p>
      <w:pPr>
        <w:spacing w:after="200" w:line="360"/>
      </w:pPr>
      <w:r>
        <w:rPr>
          <w:rFonts w:ascii="Times New Roman" w:cs="Times New Roman" w:eastAsia="Times New Roman" w:hAnsi="Times New Roman"/>
          <w:sz w:val="24"/>
          <w:szCs w:val="24"/>
        </w:rPr>
        <w:t xml:space="preserve">We sort days into decile buckets by the residual z-score and compute the average next-day VIX change in each bucket. The highest z-score bucket (z &gt; 4) exhibits an average next-day VIX decline of 3–5 points, confirming that extreme residual readings are followed by mean-reversion. The lowest z-score bucket (z &lt; −2) shows modest positive next-day VIX changes of 0.3–0.5 points, indicating that cheap-vol periods tend to see gradual VIX increases. This asymmetry—small gains during accumulation, large gains during harvesting—is precisely the payoff profile of a well-timed hedge.</w:t>
      </w:r>
    </w:p>
    <w:p>
      <w:pPr>
        <w:pStyle w:val="Heading2"/>
        <w:spacing w:before="320" w:after="240"/>
      </w:pPr>
      <w:r>
        <w:rPr>
          <w:rFonts w:ascii="Times New Roman" w:cs="Times New Roman" w:eastAsia="Times New Roman" w:hAnsi="Times New Roman"/>
          <w:b/>
          <w:bCs/>
          <w:sz w:val="28"/>
          <w:szCs w:val="28"/>
        </w:rPr>
        <w:t xml:space="preserve">6.3 Backtest Performance</w:t>
      </w:r>
    </w:p>
    <w:p>
      <w:pPr>
        <w:spacing w:after="200" w:line="360"/>
      </w:pPr>
      <w:r>
        <w:rPr>
          <w:rFonts w:ascii="Times New Roman" w:cs="Times New Roman" w:eastAsia="Times New Roman" w:hAnsi="Times New Roman"/>
          <w:sz w:val="24"/>
          <w:szCs w:val="24"/>
        </w:rPr>
        <w:t xml:space="preserve">We backtest the PDV tail hedge strategy on a $500,000 equity portfolio tracking the S&amp;P 500 over the period January 2019 through February 2026. This period encompasses the COVID-19 crash (February–March 2020), the rate hiking volatility of 2022, and the tariff-related spike of 2025, providing a rigorous stress test.</w:t>
      </w:r>
    </w:p>
    <w:p>
      <w:pPr>
        <w:spacing w:after="200" w:line="360"/>
      </w:pPr>
      <w:r>
        <w:rPr>
          <w:rFonts w:ascii="Times New Roman" w:cs="Times New Roman" w:eastAsia="Times New Roman" w:hAnsi="Times New Roman"/>
          <w:sz w:val="24"/>
          <w:szCs w:val="24"/>
        </w:rPr>
        <w:t xml:space="preserve">Key findings include the following. The strategy identifies accumulation opportunities 6–8 times per year, concentrated during periods of low VIX and high complacency. The total annual hedge cost of approximately 1.0–1.5% of portfolio value compares favorably to the 3–5% cost of systematic monthly put-buying. During the COVID-19 crash, puts purchased in January–February 2020 at implied volatilities of 12–15% were liquidated in March at implied volatilities exceeding 60%, generating returns of 3–10× on invested premium. The portfolio’s maximum drawdown is reduced relative to an unhedged equity position, with the magnitude of reduction depending on the timing and severity of market dislocations.</w:t>
      </w:r>
    </w:p>
    <w:p>
      <w:pPr>
        <w:pStyle w:val="Heading2"/>
        <w:spacing w:before="320" w:after="240"/>
      </w:pPr>
      <w:r>
        <w:rPr>
          <w:rFonts w:ascii="Times New Roman" w:cs="Times New Roman" w:eastAsia="Times New Roman" w:hAnsi="Times New Roman"/>
          <w:b/>
          <w:bCs/>
          <w:sz w:val="28"/>
          <w:szCs w:val="28"/>
        </w:rPr>
        <w:t xml:space="preserve">6.4 Regime Analysis</w:t>
      </w:r>
    </w:p>
    <w:p>
      <w:pPr>
        <w:spacing w:after="200" w:line="360"/>
      </w:pPr>
      <w:r>
        <w:rPr>
          <w:rFonts w:ascii="Times New Roman" w:cs="Times New Roman" w:eastAsia="Times New Roman" w:hAnsi="Times New Roman"/>
          <w:sz w:val="24"/>
          <w:szCs w:val="24"/>
        </w:rPr>
        <w:t xml:space="preserve">We classify market conditions into four regimes based on the PDV model output: LOW_VOL (predicted σ &lt; 12%, residual near 1.0), NORMAL (12% &lt; σ &lt; 25%, residual near 1.0), HIGH_VOL (σ &gt; 25%), and DISLOCATION (residual ratio &gt; 1.3 or &lt; 0.7). The distribution is approximately 3% LOW_VOL, 73% NORMAL, 8% HIGH_VOL, and 15% DISLOCATION.</w:t>
      </w:r>
    </w:p>
    <w:p>
      <w:pPr>
        <w:spacing w:after="200" w:line="360"/>
      </w:pPr>
      <w:r>
        <w:rPr>
          <w:rFonts w:ascii="Times New Roman" w:cs="Times New Roman" w:eastAsia="Times New Roman" w:hAnsi="Times New Roman"/>
          <w:sz w:val="24"/>
          <w:szCs w:val="24"/>
        </w:rPr>
        <w:t xml:space="preserve">The strategy performs optimally when transitions occur between NORMAL/LOW_VOL (accumulation) and HIGH_VOL/DISLOCATION (harvesting). The 13-day half-life is most stable during the NORMAL regime; during DISLOCATION events, mean-reversion may be delayed, which our strategy accommodates by maintaining position limits and not aggressively adding during dislocations.</w:t>
      </w:r>
    </w:p>
    <w:p>
      <w:pPr>
        <w:pStyle w:val="Heading1"/>
        <w:spacing w:before="480" w:after="240"/>
      </w:pPr>
      <w:r>
        <w:rPr>
          <w:rFonts w:ascii="Times New Roman" w:cs="Times New Roman" w:eastAsia="Times New Roman" w:hAnsi="Times New Roman"/>
          <w:b/>
          <w:bCs/>
          <w:sz w:val="32"/>
          <w:szCs w:val="32"/>
        </w:rPr>
        <w:t xml:space="preserve">7. Contribution and Related Literature</w:t>
      </w:r>
    </w:p>
    <w:p>
      <w:pPr>
        <w:spacing w:after="200" w:line="360"/>
      </w:pPr>
      <w:r>
        <w:rPr>
          <w:rFonts w:ascii="Times New Roman" w:cs="Times New Roman" w:eastAsia="Times New Roman" w:hAnsi="Times New Roman"/>
          <w:sz w:val="24"/>
          <w:szCs w:val="24"/>
        </w:rPr>
        <w:t xml:space="preserve">This paper contributes to three strands of literature.</w:t>
      </w:r>
    </w:p>
    <w:p>
      <w:pPr>
        <w:spacing w:after="200" w:line="360"/>
      </w:pPr>
      <w:r>
        <w:rPr>
          <w:rFonts w:ascii="Times New Roman" w:cs="Times New Roman" w:eastAsia="Times New Roman" w:hAnsi="Times New Roman"/>
          <w:b/>
          <w:bCs/>
          <w:sz w:val="24"/>
          <w:szCs w:val="24"/>
        </w:rPr>
        <w:t xml:space="preserve">Path-dependent volatility models. </w:t>
      </w:r>
      <w:r>
        <w:rPr>
          <w:rFonts w:ascii="Times New Roman" w:cs="Times New Roman" w:eastAsia="Times New Roman" w:hAnsi="Times New Roman"/>
          <w:sz w:val="24"/>
          <w:szCs w:val="24"/>
        </w:rPr>
        <w:t xml:space="preserve">Guyon and Lekeufack (2022) establish that volatility is mostly path-dependent and calibrate the PDV model for VIX prediction. We extend their framework from a descriptive model to a prescriptive tool for portfolio risk management, demonstrating that the model’s residual contains actionable trading information.</w:t>
      </w:r>
    </w:p>
    <w:p>
      <w:pPr>
        <w:spacing w:after="200" w:line="360"/>
      </w:pPr>
      <w:r>
        <w:rPr>
          <w:rFonts w:ascii="Times New Roman" w:cs="Times New Roman" w:eastAsia="Times New Roman" w:hAnsi="Times New Roman"/>
          <w:b/>
          <w:bCs/>
          <w:sz w:val="24"/>
          <w:szCs w:val="24"/>
        </w:rPr>
        <w:t xml:space="preserve">Tail risk hedging. </w:t>
      </w:r>
      <w:r>
        <w:rPr>
          <w:rFonts w:ascii="Times New Roman" w:cs="Times New Roman" w:eastAsia="Times New Roman" w:hAnsi="Times New Roman"/>
          <w:sz w:val="24"/>
          <w:szCs w:val="24"/>
        </w:rPr>
        <w:t xml:space="preserve">Bhansali (2014) and Israelov (2017) document the high cost of systematic tail protection. Ilmanen (2012) discusses the variance risk premium as a headwind for put-buyers. Our PDV-timed approach addresses these costs by purchasing only during favorable conditions identified by the exogenous residual, effectively timing the variance risk premium cycle.</w:t>
      </w:r>
    </w:p>
    <w:p>
      <w:pPr>
        <w:spacing w:after="200" w:line="360"/>
      </w:pPr>
      <w:r>
        <w:rPr>
          <w:rFonts w:ascii="Times New Roman" w:cs="Times New Roman" w:eastAsia="Times New Roman" w:hAnsi="Times New Roman"/>
          <w:b/>
          <w:bCs/>
          <w:sz w:val="24"/>
          <w:szCs w:val="24"/>
        </w:rPr>
        <w:t xml:space="preserve">Volatility trading without options data. </w:t>
      </w:r>
      <w:r>
        <w:rPr>
          <w:rFonts w:ascii="Times New Roman" w:cs="Times New Roman" w:eastAsia="Times New Roman" w:hAnsi="Times New Roman"/>
          <w:sz w:val="24"/>
          <w:szCs w:val="24"/>
        </w:rPr>
        <w:t xml:space="preserve">The practical significance of the PDV model is that it reconstructs approximately 90% of the information contained in the VIX—traditionally derived from a broad strip of SPX option prices—using only the equity price path. This democratizes volatility trading: sophisticated strategies previously requiring expensive options data subscriptions ($10,000–$25,000/year from providers like OptionMetrics or Bloomberg) can be approximated using free data from sources such as FRED or Yahoo Finance.</w:t>
      </w:r>
    </w:p>
    <w:p>
      <w:pPr>
        <w:pStyle w:val="Heading1"/>
        <w:spacing w:before="480" w:after="240"/>
      </w:pPr>
      <w:r>
        <w:rPr>
          <w:rFonts w:ascii="Times New Roman" w:cs="Times New Roman" w:eastAsia="Times New Roman" w:hAnsi="Times New Roman"/>
          <w:b/>
          <w:bCs/>
          <w:sz w:val="32"/>
          <w:szCs w:val="32"/>
        </w:rPr>
        <w:t xml:space="preserve">8. Practical Implementation Guide</w:t>
      </w:r>
    </w:p>
    <w:p>
      <w:pPr>
        <w:pStyle w:val="Heading2"/>
        <w:spacing w:before="320" w:after="240"/>
      </w:pPr>
      <w:r>
        <w:rPr>
          <w:rFonts w:ascii="Times New Roman" w:cs="Times New Roman" w:eastAsia="Times New Roman" w:hAnsi="Times New Roman"/>
          <w:b/>
          <w:bCs/>
          <w:sz w:val="28"/>
          <w:szCs w:val="28"/>
        </w:rPr>
        <w:t xml:space="preserve">8.1 For a $500K Individual Portfolio</w:t>
      </w:r>
    </w:p>
    <w:p>
      <w:pPr>
        <w:spacing w:after="200" w:line="360"/>
      </w:pPr>
      <w:r>
        <w:rPr>
          <w:rFonts w:ascii="Times New Roman" w:cs="Times New Roman" w:eastAsia="Times New Roman" w:hAnsi="Times New Roman"/>
          <w:sz w:val="24"/>
          <w:szCs w:val="24"/>
        </w:rPr>
        <w:t xml:space="preserve">The following implementation steps require only a standard brokerage account with options approval:</w:t>
      </w:r>
    </w:p>
    <w:p>
      <w:pPr>
        <w:spacing w:after="200" w:line="360"/>
      </w:pPr>
      <w:r>
        <w:rPr>
          <w:rFonts w:ascii="Times New Roman" w:cs="Times New Roman" w:eastAsia="Times New Roman" w:hAnsi="Times New Roman"/>
          <w:sz w:val="24"/>
          <w:szCs w:val="24"/>
        </w:rPr>
        <w:t xml:space="preserve">Step 1: Run the PDV model daily (requires only SPX closing prices). Compute the residual ratio ε(t) = VIX / σ̂(t).</w:t>
      </w:r>
    </w:p>
    <w:p>
      <w:pPr>
        <w:spacing w:after="200" w:line="360"/>
      </w:pPr>
      <w:r>
        <w:rPr>
          <w:rFonts w:ascii="Times New Roman" w:cs="Times New Roman" w:eastAsia="Times New Roman" w:hAnsi="Times New Roman"/>
          <w:sz w:val="24"/>
          <w:szCs w:val="24"/>
        </w:rPr>
        <w:t xml:space="preserve">Step 2: When ε(t) &lt; 0.90 and the model regime is NORMAL or LOW_VOL, purchase SPY put options struck 5% below current price, expiring in 6 weeks. Allocate approximately $900–$1,200 per trade (1.5% annual budget / 8 trades).</w:t>
      </w:r>
    </w:p>
    <w:p>
      <w:pPr>
        <w:spacing w:after="200" w:line="360"/>
      </w:pPr>
      <w:r>
        <w:rPr>
          <w:rFonts w:ascii="Times New Roman" w:cs="Times New Roman" w:eastAsia="Times New Roman" w:hAnsi="Times New Roman"/>
          <w:sz w:val="24"/>
          <w:szCs w:val="24"/>
        </w:rPr>
        <w:t xml:space="preserve">Step 3: Monitor ε(t) daily. When it exceeds 1.30, sell all open puts into the elevated implied volatility. If puts are not triggered, allow them to expire naturally.</w:t>
      </w:r>
    </w:p>
    <w:p>
      <w:pPr>
        <w:spacing w:after="200" w:line="360"/>
      </w:pPr>
      <w:r>
        <w:rPr>
          <w:rFonts w:ascii="Times New Roman" w:cs="Times New Roman" w:eastAsia="Times New Roman" w:hAnsi="Times New Roman"/>
          <w:sz w:val="24"/>
          <w:szCs w:val="24"/>
        </w:rPr>
        <w:t xml:space="preserve">Step 4: Maintain a maximum of 4 concurrent put positions to prevent over-hedging during extended low-residual periods.</w:t>
      </w:r>
    </w:p>
    <w:p>
      <w:pPr>
        <w:pStyle w:val="Heading2"/>
        <w:spacing w:before="320" w:after="240"/>
      </w:pPr>
      <w:r>
        <w:rPr>
          <w:rFonts w:ascii="Times New Roman" w:cs="Times New Roman" w:eastAsia="Times New Roman" w:hAnsi="Times New Roman"/>
          <w:b/>
          <w:bCs/>
          <w:sz w:val="28"/>
          <w:szCs w:val="28"/>
        </w:rPr>
        <w:t xml:space="preserve">8.2 Position Sizing Example</w:t>
      </w:r>
    </w:p>
    <w:p>
      <w:pPr>
        <w:spacing w:after="200" w:line="360"/>
      </w:pPr>
      <w:r>
        <w:rPr>
          <w:rFonts w:ascii="Times New Roman" w:cs="Times New Roman" w:eastAsia="Times New Roman" w:hAnsi="Times New Roman"/>
          <w:sz w:val="24"/>
          <w:szCs w:val="24"/>
        </w:rPr>
        <w:t xml:space="preserve">With SPX at 5,800 and VIX at 13 (implied vol ≈ 13%): a 42-day put struck at 5,510 (5% OTM) costs approximately $18–22 per share via Black-Scholes. One SPY contract (100 shares) costs $1,800–$2,200. On a $500,000 portfolio with a $940 per-trade budget, this corresponds to approximately 0.5 SPY contracts, or equivalently 45–50 shares of put protection. During a 10% SPX decline (5,800 → 5,220), each put with strike 5,510 has intrinsic value of $290 per share, generating a 13–16× return on premium paid.</w:t>
      </w:r>
    </w:p>
    <w:p>
      <w:pPr>
        <w:pStyle w:val="Heading1"/>
        <w:spacing w:before="480" w:after="240"/>
      </w:pPr>
      <w:r>
        <w:rPr>
          <w:rFonts w:ascii="Times New Roman" w:cs="Times New Roman" w:eastAsia="Times New Roman" w:hAnsi="Times New Roman"/>
          <w:b/>
          <w:bCs/>
          <w:sz w:val="32"/>
          <w:szCs w:val="32"/>
        </w:rPr>
        <w:t xml:space="preserve">9. Limitations and Future Work</w:t>
      </w:r>
    </w:p>
    <w:p>
      <w:pPr>
        <w:spacing w:after="200" w:line="360"/>
      </w:pPr>
      <w:r>
        <w:rPr>
          <w:rFonts w:ascii="Times New Roman" w:cs="Times New Roman" w:eastAsia="Times New Roman" w:hAnsi="Times New Roman"/>
          <w:sz w:val="24"/>
          <w:szCs w:val="24"/>
        </w:rPr>
        <w:t xml:space="preserve">Several limitations merit acknowledgment. First, the strategy’s efficacy depends on the PDV model’s predictive accuracy, which degrades during unprecedented events (the model’s test r² of 0.69 implies 31% unexplained variation). Second, the backtest uses Black-Scholes pricing with VIX as the volatility input, which does not capture the full dynamics of the volatility smile during crisis periods. Third, the 13-day half-life is an average that may vary across regimes; during extended crises, mean-reversion may be significantly slower.</w:t>
      </w:r>
    </w:p>
    <w:p>
      <w:pPr>
        <w:spacing w:after="200" w:line="360"/>
      </w:pPr>
      <w:r>
        <w:rPr>
          <w:rFonts w:ascii="Times New Roman" w:cs="Times New Roman" w:eastAsia="Times New Roman" w:hAnsi="Times New Roman"/>
          <w:sz w:val="24"/>
          <w:szCs w:val="24"/>
        </w:rPr>
        <w:t xml:space="preserve">Future work could extend this framework in several directions: joint calibration of kernel parameters and hedge parameters, multi-asset PDV models for cross-asset tail hedging, integration with the 4-factor Markovian model for real-time intraday hedging, and formal option pricing via Monte Carlo simulation of the PDV process to replace the Black-Scholes approximation.</w:t>
      </w:r>
    </w:p>
    <w:p>
      <w:pPr>
        <w:pStyle w:val="Heading1"/>
        <w:spacing w:before="480" w:after="240"/>
      </w:pPr>
      <w:r>
        <w:rPr>
          <w:rFonts w:ascii="Times New Roman" w:cs="Times New Roman" w:eastAsia="Times New Roman" w:hAnsi="Times New Roman"/>
          <w:b/>
          <w:bCs/>
          <w:sz w:val="32"/>
          <w:szCs w:val="32"/>
        </w:rPr>
        <w:t xml:space="preserve">10. Conclusion</w:t>
      </w:r>
    </w:p>
    <w:p>
      <w:pPr>
        <w:spacing w:after="200" w:line="360"/>
      </w:pPr>
      <w:r>
        <w:rPr>
          <w:rFonts w:ascii="Times New Roman" w:cs="Times New Roman" w:eastAsia="Times New Roman" w:hAnsi="Times New Roman"/>
          <w:sz w:val="24"/>
          <w:szCs w:val="24"/>
        </w:rPr>
        <w:t xml:space="preserve">We demonstrate that the exogenous volatility residual from the Guyon-Lekeufack PDV model—the component of VIX unexplained by the equity price path—is a valuable and tradeable signal for timing tail risk hedges. By purchasing OTM put options when this residual is low (indicating cheap insurance) and selling when it spikes (indicating panic), investors can achieve meaningful crash protection at a fraction of the cost of systematic hedging.</w:t>
      </w:r>
    </w:p>
    <w:p>
      <w:pPr>
        <w:spacing w:after="200" w:line="360"/>
      </w:pPr>
      <w:r>
        <w:rPr>
          <w:rFonts w:ascii="Times New Roman" w:cs="Times New Roman" w:eastAsia="Times New Roman" w:hAnsi="Times New Roman"/>
          <w:sz w:val="24"/>
          <w:szCs w:val="24"/>
        </w:rPr>
        <w:t xml:space="preserve">The broader implication is that path-dependent volatility models are not merely descriptive tools for understanding volatility dynamics—they are practical, actionable frameworks for portfolio risk management. The fact that the entire system operates on free equity price data, without requiring expensive options market data subscriptions, makes this approach accessible to a wide range of investors, from individual portfolio managers to institutional allocators seeking cost-efficient tail protection.</w:t>
      </w:r>
    </w:p>
    <w:p>
      <w:r>
        <w:br w:type="page"/>
      </w:r>
    </w:p>
    <w:p>
      <w:pPr>
        <w:pStyle w:val="Heading1"/>
        <w:spacing w:before="480" w:after="240"/>
      </w:pPr>
      <w:r>
        <w:rPr>
          <w:rFonts w:ascii="Times New Roman" w:cs="Times New Roman" w:eastAsia="Times New Roman" w:hAnsi="Times New Roman"/>
          <w:b/>
          <w:bCs/>
          <w:sz w:val="32"/>
          <w:szCs w:val="32"/>
        </w:rPr>
        <w:t xml:space="preserve">References</w:t>
      </w:r>
    </w:p>
    <w:p>
      <w:pPr>
        <w:spacing w:after="200" w:line="360"/>
      </w:pPr>
      <w:r>
        <w:rPr>
          <w:rFonts w:ascii="Times New Roman" w:cs="Times New Roman" w:eastAsia="Times New Roman" w:hAnsi="Times New Roman"/>
          <w:sz w:val="24"/>
          <w:szCs w:val="24"/>
        </w:rPr>
        <w:t xml:space="preserve">Bhansali, V. (2014). </w:t>
      </w:r>
      <w:r>
        <w:rPr>
          <w:rFonts w:ascii="Times New Roman" w:cs="Times New Roman" w:eastAsia="Times New Roman" w:hAnsi="Times New Roman"/>
          <w:i/>
          <w:iCs/>
          <w:sz w:val="24"/>
          <w:szCs w:val="24"/>
        </w:rPr>
        <w:t xml:space="preserve">Tail Risk Hedging: Creating Robust Portfolios for Volatile Markets. </w:t>
      </w:r>
      <w:r>
        <w:rPr>
          <w:rFonts w:ascii="Times New Roman" w:cs="Times New Roman" w:eastAsia="Times New Roman" w:hAnsi="Times New Roman"/>
          <w:sz w:val="24"/>
          <w:szCs w:val="24"/>
        </w:rPr>
        <w:t xml:space="preserve">McGraw-Hill.</w:t>
      </w:r>
    </w:p>
    <w:p>
      <w:pPr>
        <w:spacing w:after="200" w:line="360"/>
      </w:pPr>
      <w:r>
        <w:rPr>
          <w:rFonts w:ascii="Times New Roman" w:cs="Times New Roman" w:eastAsia="Times New Roman" w:hAnsi="Times New Roman"/>
          <w:sz w:val="24"/>
          <w:szCs w:val="24"/>
        </w:rPr>
        <w:t xml:space="preserve">Guyon, J. and Lekeufack, J. (2022). “Volatility is (Mostly) Path-Dependent.” </w:t>
      </w:r>
      <w:r>
        <w:rPr>
          <w:rFonts w:ascii="Times New Roman" w:cs="Times New Roman" w:eastAsia="Times New Roman" w:hAnsi="Times New Roman"/>
          <w:i/>
          <w:iCs/>
          <w:sz w:val="24"/>
          <w:szCs w:val="24"/>
        </w:rPr>
        <w:t xml:space="preserve">Quantitative Finance, </w:t>
      </w:r>
      <w:r>
        <w:rPr>
          <w:rFonts w:ascii="Times New Roman" w:cs="Times New Roman" w:eastAsia="Times New Roman" w:hAnsi="Times New Roman"/>
          <w:sz w:val="24"/>
          <w:szCs w:val="24"/>
        </w:rPr>
        <w:t xml:space="preserve">23(9), 1221–1258.</w:t>
      </w:r>
    </w:p>
    <w:p>
      <w:pPr>
        <w:spacing w:after="200" w:line="360"/>
      </w:pPr>
      <w:r>
        <w:rPr>
          <w:rFonts w:ascii="Times New Roman" w:cs="Times New Roman" w:eastAsia="Times New Roman" w:hAnsi="Times New Roman"/>
          <w:sz w:val="24"/>
          <w:szCs w:val="24"/>
        </w:rPr>
        <w:t xml:space="preserve">Ilmanen, A. (2012). “Do Financial Markets Reward Buying or Selling Insurance and Lottery Tickets?” </w:t>
      </w:r>
      <w:r>
        <w:rPr>
          <w:rFonts w:ascii="Times New Roman" w:cs="Times New Roman" w:eastAsia="Times New Roman" w:hAnsi="Times New Roman"/>
          <w:i/>
          <w:iCs/>
          <w:sz w:val="24"/>
          <w:szCs w:val="24"/>
        </w:rPr>
        <w:t xml:space="preserve">Financial Analysts Journal, </w:t>
      </w:r>
      <w:r>
        <w:rPr>
          <w:rFonts w:ascii="Times New Roman" w:cs="Times New Roman" w:eastAsia="Times New Roman" w:hAnsi="Times New Roman"/>
          <w:sz w:val="24"/>
          <w:szCs w:val="24"/>
        </w:rPr>
        <w:t xml:space="preserve">68(5), 26–36.</w:t>
      </w:r>
    </w:p>
    <w:p>
      <w:pPr>
        <w:spacing w:after="200" w:line="360"/>
      </w:pPr>
      <w:r>
        <w:rPr>
          <w:rFonts w:ascii="Times New Roman" w:cs="Times New Roman" w:eastAsia="Times New Roman" w:hAnsi="Times New Roman"/>
          <w:sz w:val="24"/>
          <w:szCs w:val="24"/>
        </w:rPr>
        <w:t xml:space="preserve">Israelov, R. (2017). “Pathetic Protection: The Elusive Benefits of Protective Puts.” </w:t>
      </w:r>
      <w:r>
        <w:rPr>
          <w:rFonts w:ascii="Times New Roman" w:cs="Times New Roman" w:eastAsia="Times New Roman" w:hAnsi="Times New Roman"/>
          <w:i/>
          <w:iCs/>
          <w:sz w:val="24"/>
          <w:szCs w:val="24"/>
        </w:rPr>
        <w:t xml:space="preserve">AQR Capital Management Working Paper.</w:t>
      </w:r>
    </w:p>
    <w:p>
      <w:pPr>
        <w:spacing w:after="200" w:line="360"/>
      </w:pPr>
      <w:r>
        <w:rPr>
          <w:rFonts w:ascii="Times New Roman" w:cs="Times New Roman" w:eastAsia="Times New Roman" w:hAnsi="Times New Roman"/>
          <w:sz w:val="24"/>
          <w:szCs w:val="24"/>
        </w:rPr>
        <w:t xml:space="preserve">Guyon, J. (2014). “Path-Dependent Volatility.” </w:t>
      </w:r>
      <w:r>
        <w:rPr>
          <w:rFonts w:ascii="Times New Roman" w:cs="Times New Roman" w:eastAsia="Times New Roman" w:hAnsi="Times New Roman"/>
          <w:i/>
          <w:iCs/>
          <w:sz w:val="24"/>
          <w:szCs w:val="24"/>
        </w:rPr>
        <w:t xml:space="preserve">Risk Magazine.</w:t>
      </w:r>
    </w:p>
    <w:p>
      <w:pPr>
        <w:spacing w:after="200" w:line="360"/>
      </w:pPr>
      <w:r>
        <w:rPr>
          <w:rFonts w:ascii="Times New Roman" w:cs="Times New Roman" w:eastAsia="Times New Roman" w:hAnsi="Times New Roman"/>
          <w:sz w:val="24"/>
          <w:szCs w:val="24"/>
        </w:rPr>
        <w:t xml:space="preserve">Carr, P. and Wu, L. (2009). “Variance Risk Premiums.” </w:t>
      </w:r>
      <w:r>
        <w:rPr>
          <w:rFonts w:ascii="Times New Roman" w:cs="Times New Roman" w:eastAsia="Times New Roman" w:hAnsi="Times New Roman"/>
          <w:i/>
          <w:iCs/>
          <w:sz w:val="24"/>
          <w:szCs w:val="24"/>
        </w:rPr>
        <w:t xml:space="preserve">Review of Financial Studies, </w:t>
      </w:r>
      <w:r>
        <w:rPr>
          <w:rFonts w:ascii="Times New Roman" w:cs="Times New Roman" w:eastAsia="Times New Roman" w:hAnsi="Times New Roman"/>
          <w:sz w:val="24"/>
          <w:szCs w:val="24"/>
        </w:rPr>
        <w:t xml:space="preserve">22(3), 1311–1341.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320" w:after="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2026-02-24T05:33:33.922Z</dcterms:created>
  <dcterms:modified xsi:type="dcterms:W3CDTF">2026-02-24T05:33:33.923Z</dcterms:modified>
</cp:coreProperties>
</file>

<file path=docProps/custom.xml><?xml version="1.0" encoding="utf-8"?>
<Properties xmlns="http://schemas.openxmlformats.org/officeDocument/2006/custom-properties" xmlns:vt="http://schemas.openxmlformats.org/officeDocument/2006/docPropsVTypes"/>
</file>