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480"/>
        <w:jc w:val="center"/>
      </w:pPr>
      <w:r>
        <w:rPr>
          <w:rFonts w:ascii="Times New Roman" w:cs="Times New Roman" w:eastAsia="Times New Roman" w:hAnsi="Times New Roman"/>
          <w:b/>
          <w:bCs/>
          <w:sz w:val="24"/>
          <w:szCs w:val="24"/>
        </w:rPr>
        <w:t xml:space="preserve">CHAPTER FOUR</w:t>
      </w:r>
    </w:p>
    <w:p>
      <w:pPr>
        <w:spacing w:after="240" w:before="240" w:line="480"/>
        <w:jc w:val="center"/>
      </w:pPr>
      <w:r>
        <w:rPr>
          <w:rFonts w:ascii="Times New Roman" w:cs="Times New Roman" w:eastAsia="Times New Roman" w:hAnsi="Times New Roman"/>
          <w:b/>
          <w:bCs/>
          <w:sz w:val="24"/>
          <w:szCs w:val="24"/>
        </w:rPr>
        <w:t xml:space="preserve">RESULTS AND DISCUSSION</w:t>
      </w:r>
    </w:p>
    <w:p>
      <w:pPr>
        <w:spacing w:after="200" w:before="320" w:line="480"/>
        <w:jc w:val="left"/>
      </w:pPr>
      <w:r>
        <w:rPr>
          <w:rFonts w:ascii="Times New Roman" w:cs="Times New Roman" w:eastAsia="Times New Roman" w:hAnsi="Times New Roman"/>
          <w:b/>
          <w:bCs/>
          <w:sz w:val="24"/>
          <w:szCs w:val="24"/>
        </w:rPr>
        <w:t xml:space="preserve">4.1 Introduction</w:t>
      </w:r>
    </w:p>
    <w:p>
      <w:pPr>
        <w:spacing w:after="240" w:line="480"/>
        <w:jc w:val="both"/>
      </w:pPr>
      <w:r>
        <w:rPr>
          <w:rFonts w:ascii="Times New Roman" w:cs="Times New Roman" w:eastAsia="Times New Roman" w:hAnsi="Times New Roman"/>
          <w:sz w:val="24"/>
          <w:szCs w:val="24"/>
        </w:rPr>
        <w:t xml:space="preserve">This chapter presents the results obtained from implementing and testing the hybrid access control framework designed in Chapter Three, together with the pure RBAC-only and pure ABAC-only baselines against which it is compared. Section 4.2 describes the scope of the pilot implementation used to produce these results. Sections 4.3 to 4.6 present the outcomes of the test scenario matrix, the authentication-layer tests, the authorization accuracy and security effectiveness figures, and the response-time and throughput measurements, in each case as directly measured values rather than projected or assumed figures. Section 4.7 draws these results together in a comparative analysis, and Section 4.8 discusses their significance in light of the literature reviewed in Chapter Two.</w:t>
      </w:r>
    </w:p>
    <w:p>
      <w:pPr>
        <w:spacing w:after="200" w:before="320" w:line="480"/>
        <w:jc w:val="left"/>
      </w:pPr>
      <w:r>
        <w:rPr>
          <w:rFonts w:ascii="Times New Roman" w:cs="Times New Roman" w:eastAsia="Times New Roman" w:hAnsi="Times New Roman"/>
          <w:b/>
          <w:bCs/>
          <w:sz w:val="24"/>
          <w:szCs w:val="24"/>
        </w:rPr>
        <w:t xml:space="preserve">4.2 Implementation Overview</w:t>
      </w:r>
    </w:p>
    <w:p>
      <w:pPr>
        <w:spacing w:after="240" w:line="480"/>
        <w:jc w:val="both"/>
      </w:pPr>
      <w:r>
        <w:rPr>
          <w:rFonts w:ascii="Times New Roman" w:cs="Times New Roman" w:eastAsia="Times New Roman" w:hAnsi="Times New Roman"/>
          <w:sz w:val="24"/>
          <w:szCs w:val="24"/>
        </w:rPr>
        <w:t xml:space="preserve">Consistent with the scope defined in Chapter Three, the three-stage Hybrid Access Control Engine (HACE) and its two baseline comparators, a pure RBAC-only engine and a pure ABAC-only engine, were implemented in Python as a pilot decision-engine benchmark. This pilot implements the exact evaluation logic specified in Section 3.6, RBAC eligibility followed by ABAC contextual evaluation followed by PBAC policy resolution, and the token-based authentication layer specified in Section 3.4.1, HMAC-signed tokens with expiry and revocation checking. It is distinct from, and sits beneath, the full Django, PostgreSQL, and JWT/OAuth 2.0 web-application stack described in Chapter Three: the pilot was built to generate genuine, reproducible measurements of the decision logic itself within the development environment available for this study, rather than to stand in for a complete production deployment. This distinction is returned to in Section 4.6, where it materially affects how the response-time results should be read.</w:t>
      </w:r>
    </w:p>
    <w:p>
      <w:pPr>
        <w:spacing w:after="240" w:line="480"/>
        <w:jc w:val="both"/>
      </w:pPr>
      <w:r>
        <w:rPr>
          <w:rFonts w:ascii="Times New Roman" w:cs="Times New Roman" w:eastAsia="Times New Roman" w:hAnsi="Times New Roman"/>
          <w:sz w:val="24"/>
          <w:szCs w:val="24"/>
        </w:rPr>
        <w:t xml:space="preserve">The pilot was seeded with four simulated users occupying three roles, RecordsOfficer, Auditor, and Guest, a resource type, PatientRecord, with associated attribute conditions (departmental match, minimum clearance, and a permitted access-hour window), and two organization-wide PBAC policies of differing priority: a blanket after-hours denial policy and a higher-priority policy permitting Auditors to access records outside normal hours during a declared audit period. This seed data was constructed specifically to exercise the five scenario categories named in Objective iv of Chapter One, plus the token-layer scenarios covering privilege escalation, expiry, and revocation.</w:t>
      </w:r>
    </w:p>
    <w:p>
      <w:pPr>
        <w:spacing w:after="200" w:before="320" w:line="480"/>
        <w:jc w:val="left"/>
      </w:pPr>
      <w:r>
        <w:rPr>
          <w:rFonts w:ascii="Times New Roman" w:cs="Times New Roman" w:eastAsia="Times New Roman" w:hAnsi="Times New Roman"/>
          <w:b/>
          <w:bCs/>
          <w:sz w:val="24"/>
          <w:szCs w:val="24"/>
        </w:rPr>
        <w:t xml:space="preserve">4.3 Test Scenario Results</w:t>
      </w:r>
    </w:p>
    <w:p>
      <w:pPr>
        <w:spacing w:after="240" w:line="480"/>
        <w:jc w:val="both"/>
      </w:pPr>
      <w:r>
        <w:rPr>
          <w:rFonts w:ascii="Times New Roman" w:cs="Times New Roman" w:eastAsia="Times New Roman" w:hAnsi="Times New Roman"/>
          <w:sz w:val="24"/>
          <w:szCs w:val="24"/>
        </w:rPr>
        <w:t xml:space="preserve">Table 4.1 reports the outcome of each of the five access-decision test scenarios against all three implementations. A result is recorded as passed where the implementation's decision matched the expected outcome defined in Section 3.9, and failed otherwise.</w:t>
      </w:r>
    </w:p>
    <w:p>
      <w:pPr>
        <w:spacing w:after="100" w:before="200" w:line="276"/>
        <w:jc w:val="left"/>
      </w:pPr>
      <w:r>
        <w:rPr>
          <w:rFonts w:ascii="Times New Roman" w:cs="Times New Roman" w:eastAsia="Times New Roman" w:hAnsi="Times New Roman"/>
          <w:b/>
          <w:bCs/>
          <w:sz w:val="22"/>
          <w:szCs w:val="22"/>
        </w:rPr>
        <w:t xml:space="preserve">Table 4.1: Access-decision test scenario results by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Scenario</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Expected</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Hybrid</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RBAC-only</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ABAC-only</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Legitimate access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 — 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Unauthorized access (no role permission)</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Attribute mismatch (after-hours request)</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 — Fail</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Unauthorized action for role (write by Auditor)</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Policy conflict (audit-period override)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Permit — Pass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Deny — Fail</w:t>
            </w:r>
          </w:p>
        </w:tc>
      </w:tr>
    </w:tbl>
    <w:p>
      <w:pPr>
        <w:spacing w:after="200"/>
      </w:pPr>
      <w:r>
        <w:rPr>
          <w:rFonts w:ascii="Times New Roman" w:cs="Times New Roman" w:eastAsia="Times New Roman" w:hAnsi="Times New Roman"/>
          <w:sz w:val="24"/>
          <w:szCs w:val="24"/>
        </w:rPr>
        <w:t xml:space="preserve"/>
      </w:r>
    </w:p>
    <w:p>
      <w:pPr>
        <w:spacing w:after="240" w:line="480"/>
        <w:jc w:val="both"/>
      </w:pPr>
      <w:r>
        <w:rPr>
          <w:rFonts w:ascii="Times New Roman" w:cs="Times New Roman" w:eastAsia="Times New Roman" w:hAnsi="Times New Roman"/>
          <w:sz w:val="24"/>
          <w:szCs w:val="24"/>
        </w:rPr>
        <w:t xml:space="preserve">The hybrid framework produced the expected outcome in all five scenarios. The two baseline models each failed one scenario, and each failure traces directly to the specific limitation identified for that model in Chapter Two. The RBAC-only baseline permitted the after-hours request in the attribute-mismatch scenario because RBAC has no mechanism for evaluating the time of a request; once a role grants a permission, RBAC grants it unconditionally, which is exactly the limitation Ameer et al. (2022) and Hu et al. (2014) identify as RBAC's central weakness. The ABAC-only baseline denied the audit-period override in the policy-conflict scenario because ABAC has no policy layer capable of expressing an organization-wide exception that overrides a standing attribute condition; it correctly enforced the after-hours restriction as an attribute condition but had no way to express that an audit period should override that restriction for an Auditor, which is the specific gap the Policy Machine's unifying policy layer was designed to close (Ferraiolo et al., 2011). The hybrid framework's PBAC stage, evaluated after RBAC and ABAC on every request as specified in Section 3.6, was able to override the ABAC-stage outcome in this scenario because the higher-priority audit-period policy applied, which is the conflict-resolution behavior the framework was specifically designed to provide.</w:t>
      </w:r>
    </w:p>
    <w:p>
      <w:pPr>
        <w:spacing w:after="200" w:before="320" w:line="480"/>
        <w:jc w:val="left"/>
      </w:pPr>
      <w:r>
        <w:rPr>
          <w:rFonts w:ascii="Times New Roman" w:cs="Times New Roman" w:eastAsia="Times New Roman" w:hAnsi="Times New Roman"/>
          <w:b/>
          <w:bCs/>
          <w:sz w:val="24"/>
          <w:szCs w:val="24"/>
        </w:rPr>
        <w:t xml:space="preserve">4.4 Authentication Layer Results</w:t>
      </w:r>
    </w:p>
    <w:p>
      <w:pPr>
        <w:spacing w:after="240" w:line="480"/>
        <w:jc w:val="both"/>
      </w:pPr>
      <w:r>
        <w:rPr>
          <w:rFonts w:ascii="Times New Roman" w:cs="Times New Roman" w:eastAsia="Times New Roman" w:hAnsi="Times New Roman"/>
          <w:sz w:val="24"/>
          <w:szCs w:val="24"/>
        </w:rPr>
        <w:t xml:space="preserve">Table 4.2 reports the outcome of the four token-handling scenarios, which test the authentication layer that sits in front of the HACE decision engine and is shared, unmodified, across all three implementations.</w:t>
      </w:r>
    </w:p>
    <w:p>
      <w:pPr>
        <w:spacing w:after="100" w:before="200" w:line="276"/>
        <w:jc w:val="left"/>
      </w:pPr>
      <w:r>
        <w:rPr>
          <w:rFonts w:ascii="Times New Roman" w:cs="Times New Roman" w:eastAsia="Times New Roman" w:hAnsi="Times New Roman"/>
          <w:b/>
          <w:bCs/>
          <w:sz w:val="22"/>
          <w:szCs w:val="22"/>
        </w:rPr>
        <w:t xml:space="preserve">Table 4.2: Authentication-layer (token) test scenario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Scenario</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Expected outcome</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Actual outcome</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Result</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Valid token presented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Accepted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Accepted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Privilege escalation via token tampering</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Rejected (bad signature)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Rejected — bad_signature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Expired token presented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Rejected (expired)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Rejected — expired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Pass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Revoked (blacklisted) token presented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Rejected (revoked)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Rejected — revoked</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Pass</w:t>
            </w:r>
          </w:p>
        </w:tc>
      </w:tr>
    </w:tbl>
    <w:p>
      <w:pPr>
        <w:spacing w:after="200"/>
      </w:pPr>
      <w:r>
        <w:rPr>
          <w:rFonts w:ascii="Times New Roman" w:cs="Times New Roman" w:eastAsia="Times New Roman" w:hAnsi="Times New Roman"/>
          <w:sz w:val="24"/>
          <w:szCs w:val="24"/>
        </w:rPr>
        <w:t xml:space="preserve"/>
      </w:r>
    </w:p>
    <w:p>
      <w:pPr>
        <w:spacing w:after="240" w:line="480"/>
        <w:jc w:val="both"/>
      </w:pPr>
      <w:r>
        <w:rPr>
          <w:rFonts w:ascii="Times New Roman" w:cs="Times New Roman" w:eastAsia="Times New Roman" w:hAnsi="Times New Roman"/>
          <w:sz w:val="24"/>
          <w:szCs w:val="24"/>
        </w:rPr>
        <w:t xml:space="preserve">All four token-handling scenarios produced the expected outcome. Of particular relevance to Objective iv is the privilege-escalation scenario, in which a simulated attacker edited a valid token's payload to substitute a different user identity without possessing the signing key; the signature verification step rejected the tampered token because the recomputed signature no longer matched the one attached to the altered payload. This confirms that identity spoofing through direct token manipulation is caught before a request ever reaches the HACE decision engine, consistent with the authentication design set out in Section 3.4.1 and with the JWT-hardening approach examined by Bucko et al. (2023).</w:t>
      </w:r>
    </w:p>
    <w:p>
      <w:pPr>
        <w:spacing w:after="200" w:before="320" w:line="480"/>
        <w:jc w:val="left"/>
      </w:pPr>
      <w:r>
        <w:rPr>
          <w:rFonts w:ascii="Times New Roman" w:cs="Times New Roman" w:eastAsia="Times New Roman" w:hAnsi="Times New Roman"/>
          <w:b/>
          <w:bCs/>
          <w:sz w:val="24"/>
          <w:szCs w:val="24"/>
        </w:rPr>
        <w:t xml:space="preserve">4.5 Authorization Accuracy and Security Effectiveness</w:t>
      </w:r>
    </w:p>
    <w:p>
      <w:pPr>
        <w:spacing w:after="240" w:line="480"/>
        <w:jc w:val="both"/>
      </w:pPr>
      <w:r>
        <w:rPr>
          <w:rFonts w:ascii="Times New Roman" w:cs="Times New Roman" w:eastAsia="Times New Roman" w:hAnsi="Times New Roman"/>
          <w:sz w:val="24"/>
          <w:szCs w:val="24"/>
        </w:rPr>
        <w:t xml:space="preserve">Authorization accuracy, defined in Section 3.4 as the percentage of correct permit or deny decisions produced across the test scenario matrix, is reported in Table 4.3.</w:t>
      </w:r>
    </w:p>
    <w:p>
      <w:pPr>
        <w:spacing w:after="100" w:before="200" w:line="276"/>
        <w:jc w:val="left"/>
      </w:pPr>
      <w:r>
        <w:rPr>
          <w:rFonts w:ascii="Times New Roman" w:cs="Times New Roman" w:eastAsia="Times New Roman" w:hAnsi="Times New Roman"/>
          <w:b/>
          <w:bCs/>
          <w:sz w:val="22"/>
          <w:szCs w:val="22"/>
        </w:rPr>
        <w:t xml:space="preserve">Table 4.3: Authorization accuracy by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Implementation</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Correct decisions</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Total scenarios</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Accuracy</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Hybrid (HACE)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RBAC-only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4</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80.0%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ABAC-only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4</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5</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80.0%</w:t>
            </w:r>
          </w:p>
        </w:tc>
      </w:tr>
    </w:tbl>
    <w:p>
      <w:pPr>
        <w:spacing w:after="200"/>
      </w:pPr>
      <w:r>
        <w:rPr>
          <w:rFonts w:ascii="Times New Roman" w:cs="Times New Roman" w:eastAsia="Times New Roman" w:hAnsi="Times New Roman"/>
          <w:sz w:val="24"/>
          <w:szCs w:val="24"/>
        </w:rPr>
        <w:t xml:space="preserve"/>
      </w:r>
    </w:p>
    <w:p>
      <w:pPr>
        <w:spacing w:after="240" w:line="480"/>
        <w:jc w:val="both"/>
      </w:pPr>
      <w:r>
        <w:rPr>
          <w:rFonts w:ascii="Times New Roman" w:cs="Times New Roman" w:eastAsia="Times New Roman" w:hAnsi="Times New Roman"/>
          <w:sz w:val="24"/>
          <w:szCs w:val="24"/>
        </w:rPr>
        <w:t xml:space="preserve">Security effectiveness, defined as the proportion of scenarios in which a malicious or contextually inappropriate request was correctly denied, follows the same pattern for the authorization decisions and stood at 100 percent for the authentication layer across all three implementations, since token validation operates independently of which decision engine sits behind it. Taken together, the results in Sections 4.3 to 4.5 show that the accuracy gain the hybrid framework achieves over both baselines comes specifically from the single scenario each baseline was, by design, unable to handle, rather than from a general improvement spread evenly across all scenario types.</w:t>
      </w:r>
    </w:p>
    <w:p>
      <w:pPr>
        <w:spacing w:after="200" w:before="320" w:line="480"/>
        <w:jc w:val="left"/>
      </w:pPr>
      <w:r>
        <w:rPr>
          <w:rFonts w:ascii="Times New Roman" w:cs="Times New Roman" w:eastAsia="Times New Roman" w:hAnsi="Times New Roman"/>
          <w:b/>
          <w:bCs/>
          <w:sz w:val="24"/>
          <w:szCs w:val="24"/>
        </w:rPr>
        <w:t xml:space="preserve">4.6 Response Time and Scalability/Throughput Results</w:t>
      </w:r>
    </w:p>
    <w:p>
      <w:pPr>
        <w:spacing w:after="240" w:line="480"/>
        <w:jc w:val="both"/>
      </w:pPr>
      <w:r>
        <w:rPr>
          <w:rFonts w:ascii="Times New Roman" w:cs="Times New Roman" w:eastAsia="Times New Roman" w:hAnsi="Times New Roman"/>
          <w:sz w:val="24"/>
          <w:szCs w:val="24"/>
        </w:rPr>
        <w:t xml:space="preserve">Response-time latency was measured for the decision-engine logic alone, isolated from network transport, request serialization, and database access, over 20,000 warmed-up iterations per implementation. These figures are reported in Table 4.4 in microseconds, since the values measured at this layer are well under one millisecond for all three implementations.</w:t>
      </w:r>
    </w:p>
    <w:p>
      <w:pPr>
        <w:spacing w:after="100" w:before="200" w:line="276"/>
        <w:jc w:val="left"/>
      </w:pPr>
      <w:r>
        <w:rPr>
          <w:rFonts w:ascii="Times New Roman" w:cs="Times New Roman" w:eastAsia="Times New Roman" w:hAnsi="Times New Roman"/>
          <w:b/>
          <w:bCs/>
          <w:sz w:val="22"/>
          <w:szCs w:val="22"/>
        </w:rPr>
        <w:t xml:space="preserve">Table 4.4: Decision-engine latency by implementation (microseconds, 20,000 iterations)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Implementation</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Mean (µs)</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P50 (µs)</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P95 (µs)</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P99 (µs)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Hybrid (HACE)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0.98</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0.85</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1.41</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4.01</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RBAC-only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0.33</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0.31</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0.36</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0.59</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ABAC-only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0.28</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0.24</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0.38</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0.50</w:t>
            </w:r>
          </w:p>
        </w:tc>
      </w:tr>
    </w:tbl>
    <w:p>
      <w:pPr>
        <w:spacing w:after="200"/>
      </w:pPr>
      <w:r>
        <w:rPr>
          <w:rFonts w:ascii="Times New Roman" w:cs="Times New Roman" w:eastAsia="Times New Roman" w:hAnsi="Times New Roman"/>
          <w:sz w:val="24"/>
          <w:szCs w:val="24"/>
        </w:rPr>
        <w:t xml:space="preserve"/>
      </w:r>
    </w:p>
    <w:p>
      <w:pPr>
        <w:spacing w:after="240" w:line="480"/>
        <w:jc w:val="both"/>
      </w:pPr>
      <w:r>
        <w:rPr>
          <w:rFonts w:ascii="Times New Roman" w:cs="Times New Roman" w:eastAsia="Times New Roman" w:hAnsi="Times New Roman"/>
          <w:sz w:val="24"/>
          <w:szCs w:val="24"/>
        </w:rPr>
        <w:t xml:space="preserve">The hybrid framework's mean decision latency was approximately 3.0 times that of the RBAC-only baseline and approximately 3.5 times that of the ABAC-only baseline, which is the expected cost of evaluating three sequential stages rather than one. Throughput and scalability were measured by running each implementation under a fixed 1.5-second window at three levels of simulated concurrency, one, ten, and fifty simultaneous callers, using a thread pool within the same single-process pilot harness; the results are reported in Table 4.5.</w:t>
      </w:r>
    </w:p>
    <w:p>
      <w:pPr>
        <w:spacing w:after="100" w:before="200" w:line="276"/>
        <w:jc w:val="left"/>
      </w:pPr>
      <w:r>
        <w:rPr>
          <w:rFonts w:ascii="Times New Roman" w:cs="Times New Roman" w:eastAsia="Times New Roman" w:hAnsi="Times New Roman"/>
          <w:b/>
          <w:bCs/>
          <w:sz w:val="22"/>
          <w:szCs w:val="22"/>
        </w:rPr>
        <w:t xml:space="preserve">Table 4.5: Decision-engine throughput by implementation and concurrency level (requests per second, single-process pilot harness)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Implementation</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Concurrency 1</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Concurrency 10</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Concurrency 50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Hybrid (HACE)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~1,070,000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~1,029,000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~1,002,000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RBAC-only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~2,745,000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~2,734,000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~2,731,000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ABAC-only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~3,336,000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~3,338,000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~3,316,000</w:t>
            </w:r>
          </w:p>
        </w:tc>
      </w:tr>
    </w:tbl>
    <w:p>
      <w:pPr>
        <w:spacing w:after="200"/>
      </w:pPr>
      <w:r>
        <w:rPr>
          <w:rFonts w:ascii="Times New Roman" w:cs="Times New Roman" w:eastAsia="Times New Roman" w:hAnsi="Times New Roman"/>
          <w:sz w:val="24"/>
          <w:szCs w:val="24"/>
        </w:rPr>
        <w:t xml:space="preserve"/>
      </w:r>
    </w:p>
    <w:p>
      <w:pPr>
        <w:spacing w:after="240" w:line="480"/>
        <w:jc w:val="both"/>
      </w:pPr>
      <w:r>
        <w:rPr>
          <w:rFonts w:ascii="Times New Roman" w:cs="Times New Roman" w:eastAsia="Times New Roman" w:hAnsi="Times New Roman"/>
          <w:sz w:val="24"/>
          <w:szCs w:val="24"/>
        </w:rPr>
        <w:t xml:space="preserve">At fifty simulated concurrent callers, the hybrid framework sustained approximately 36.7 percent of the RBAC-only baseline's throughput and approximately 30.2 percent of the ABAC-only baseline's throughput. Throughput for all three implementations was essentially flat across the three concurrency levels rather than increasing with concurrency, which is expected of a single-process Python benchmark harness bound by the interpreter's global lock; it reflects the relative cost of each engine's decision logic rather than the true multi-core scalability a production deployment would exhibit behind a multi-process or multi-worker Django/PostgreSQL stack, a limitation acknowledged directly in the next paragraph.</w:t>
      </w:r>
    </w:p>
    <w:p>
      <w:pPr>
        <w:spacing w:after="240" w:line="480"/>
        <w:jc w:val="both"/>
      </w:pPr>
      <w:r>
        <w:rPr>
          <w:rFonts w:ascii="Times New Roman" w:cs="Times New Roman" w:eastAsia="Times New Roman" w:hAnsi="Times New Roman"/>
          <w:sz w:val="24"/>
          <w:szCs w:val="24"/>
        </w:rPr>
        <w:t xml:space="preserve">These latency and throughput figures should be read specifically as a measure of the decision-engine logic's relative computational cost, not as a projection of end-to-end response time for the full system described in Chapter Three. In a production deployment behind Django, PostgreSQL, and a network boundary, the dominant contributors to response time are typically network round-trip time, request parsing, and database query execution, each on the order of single-digit to tens of milliseconds, which would apply equally to all three implementations and would be one to two orders of magnitude larger than the sub-microsecond differences measured here. On that basis, the additional decision-engine cost the hybrid framework introduces is unlikely to be the dominant factor in the response time an end user experiences, even though it is measurably larger, in relative terms, than either baseline's cost in isolation.</w:t>
      </w:r>
    </w:p>
    <w:p>
      <w:pPr>
        <w:spacing w:after="200" w:before="320" w:line="480"/>
        <w:jc w:val="left"/>
      </w:pPr>
      <w:r>
        <w:rPr>
          <w:rFonts w:ascii="Times New Roman" w:cs="Times New Roman" w:eastAsia="Times New Roman" w:hAnsi="Times New Roman"/>
          <w:b/>
          <w:bCs/>
          <w:sz w:val="24"/>
          <w:szCs w:val="24"/>
        </w:rPr>
        <w:t xml:space="preserve">4.7 Comparative Analysis</w:t>
      </w:r>
    </w:p>
    <w:p>
      <w:pPr>
        <w:spacing w:after="240" w:line="480"/>
        <w:jc w:val="both"/>
      </w:pPr>
      <w:r>
        <w:rPr>
          <w:rFonts w:ascii="Times New Roman" w:cs="Times New Roman" w:eastAsia="Times New Roman" w:hAnsi="Times New Roman"/>
          <w:sz w:val="24"/>
          <w:szCs w:val="24"/>
        </w:rPr>
        <w:t xml:space="preserve">Table 4.6 draws together the results reported in Sections 4.3 to 4.6 against the six evaluation criteria stated in Objective v of Chapter One.</w:t>
      </w:r>
    </w:p>
    <w:p>
      <w:pPr>
        <w:spacing w:after="100" w:before="200" w:line="276"/>
        <w:jc w:val="left"/>
      </w:pPr>
      <w:r>
        <w:rPr>
          <w:rFonts w:ascii="Times New Roman" w:cs="Times New Roman" w:eastAsia="Times New Roman" w:hAnsi="Times New Roman"/>
          <w:b/>
          <w:bCs/>
          <w:sz w:val="22"/>
          <w:szCs w:val="22"/>
        </w:rPr>
        <w:t xml:space="preserve">Table 4.6: Summary comparison of the hybrid framework against the two baseline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Criterion</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Hybrid (HACE)</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RBAC-only</w:t>
            </w:r>
          </w:p>
        </w:tc>
        <w:tc>
          <w:tcPr>
            <w:tcBorders>
              <w:top w:val="single" w:color="999999" w:sz="2"/>
              <w:left w:val="single" w:color="999999" w:sz="2"/>
              <w:bottom w:val="single" w:color="999999" w:sz="2"/>
              <w:right w:val="single" w:color="999999" w:sz="2"/>
            </w:tcBorders>
            <w:shd w:fill="D9D9D9"/>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0"/>
                <w:szCs w:val="20"/>
              </w:rPr>
              <w:t xml:space="preserve">ABAC-only</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Authorization accuracy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80.0%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80.0%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Security effectiveness (auth. layer)</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100.0%</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Mean decision latency</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0.98 µs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0.33 µs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0.28 µs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Throughput at concurrency 50</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~1,002,000 req/s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~2,731,000 req/s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~3,316,000 req/s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Handles contextual (time/location) conditions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Yes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No</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Yes</w:t>
            </w:r>
          </w:p>
        </w:tc>
      </w:tr>
      <w:tr>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Handles organization-wide policy override</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Yes</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No</w:t>
            </w:r>
          </w:p>
        </w:tc>
        <w:tc>
          <w:tcPr>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0"/>
                <w:szCs w:val="20"/>
              </w:rPr>
              <w:t xml:space="preserve">No</w:t>
            </w:r>
          </w:p>
        </w:tc>
      </w:tr>
    </w:tbl>
    <w:p>
      <w:pPr>
        <w:spacing w:after="200"/>
      </w:pPr>
      <w:r>
        <w:rPr>
          <w:rFonts w:ascii="Times New Roman" w:cs="Times New Roman" w:eastAsia="Times New Roman" w:hAnsi="Times New Roman"/>
          <w:sz w:val="24"/>
          <w:szCs w:val="24"/>
        </w:rPr>
        <w:t xml:space="preserve"/>
      </w:r>
    </w:p>
    <w:p>
      <w:pPr>
        <w:spacing w:after="240" w:line="480"/>
        <w:jc w:val="both"/>
      </w:pPr>
      <w:r>
        <w:rPr>
          <w:rFonts w:ascii="Times New Roman" w:cs="Times New Roman" w:eastAsia="Times New Roman" w:hAnsi="Times New Roman"/>
          <w:sz w:val="24"/>
          <w:szCs w:val="24"/>
        </w:rPr>
        <w:t xml:space="preserve">No single implementation dominates on every criterion. The two baseline models are each faster and support a higher raw throughput than the hybrid framework at the decision-engine layer, which is the direct cost of evaluating three stages instead of one. The hybrid framework is the only one of the three that produced a correct decision in every test scenario, because it is the only implementation that combines contextual attribute evaluation with organization-wide policy override in a single decision path. Whether that trade, additional decision-engine cost in exchange for complete coverage of the scenario matrix, is worthwhile depends on the deployment context; Section 4.8 discusses this trade-off in relation to the Nigerian organizational and regulatory context established in Chapter One and Chapter Two.</w:t>
      </w:r>
    </w:p>
    <w:p>
      <w:pPr>
        <w:spacing w:after="200" w:before="320" w:line="480"/>
        <w:jc w:val="left"/>
      </w:pPr>
      <w:r>
        <w:rPr>
          <w:rFonts w:ascii="Times New Roman" w:cs="Times New Roman" w:eastAsia="Times New Roman" w:hAnsi="Times New Roman"/>
          <w:b/>
          <w:bCs/>
          <w:sz w:val="24"/>
          <w:szCs w:val="24"/>
        </w:rPr>
        <w:t xml:space="preserve">4.8 Discussion of Findings</w:t>
      </w:r>
    </w:p>
    <w:p>
      <w:pPr>
        <w:spacing w:after="240" w:line="480"/>
        <w:jc w:val="both"/>
      </w:pPr>
      <w:r>
        <w:rPr>
          <w:rFonts w:ascii="Times New Roman" w:cs="Times New Roman" w:eastAsia="Times New Roman" w:hAnsi="Times New Roman"/>
          <w:sz w:val="24"/>
          <w:szCs w:val="24"/>
        </w:rPr>
        <w:t xml:space="preserve">The results in this chapter support the central argument advanced in Chapter One: that RBAC and ABAC each solve one dimension of the access control problem while leaving the other exposed, and that a hybrid design combining both with a policy-based override layer closes that gap without abandoning either model's underlying evaluation logic. The specific failure recorded for the RBAC-only baseline, granting an after-hours request purely because the requester's role permitted it, is the same limitation Sandhu et al. (1996) and Hu et al. (2014) describe as intrinsic to a purely role-based model, and the specific failure recorded for the ABAC-only baseline, being unable to express an organization-wide exception to a standing attribute condition, mirrors the motivation Ferraiolo et al. (2011) give for the Policy Machine's separation of policy decision-making from any single evaluation model. That the hybrid framework's own PBAC stage was able to resolve exactly this conflict, once the implementation was corrected during testing to let PBAC review the ABAC-stage outcome rather than being short-circuited by it, is a direct, empirically observed demonstration of the conflict-resolution behavior specified in Section 3.6, rather than an assumed property of the design.</w:t>
      </w:r>
    </w:p>
    <w:p>
      <w:pPr>
        <w:spacing w:after="240" w:line="480"/>
        <w:jc w:val="both"/>
      </w:pPr>
      <w:r>
        <w:rPr>
          <w:rFonts w:ascii="Times New Roman" w:cs="Times New Roman" w:eastAsia="Times New Roman" w:hAnsi="Times New Roman"/>
          <w:sz w:val="24"/>
          <w:szCs w:val="24"/>
        </w:rPr>
        <w:t xml:space="preserve">The latency and throughput results temper, without undermining, that finding. Ameer et al. (2022) and Penelova (2021) both report that hybrid RBAC-ABAC designs introduce measurable additional evaluation cost relative to a single model, and the results in Section 4.6 are consistent with that pattern at the decision-engine layer. The distinguishing consideration for this study's stated context, database access control in Nigerian organizations operating under the NDPA 2023, is that the security-of-processing obligation Aloamaka (2025) describes is not sensitive to microsecond-level differences in decision latency; it is sensitive to whether the organization's access control mechanism can correctly enforce contextual and policy-level rules and produce an auditable record of every decision, both of which the hybrid framework demonstrated and neither baseline fully achieved. On that basis, the additional computational cost measured in this chapter is judged, within the scope of this study, to be an acceptable trade-off against the accuracy and policy-coverage gains reported in Sections 4.3 and 4.5, though this judgment would benefit from validation against the full Django/PostgreSQL production stack described in Chapter Three, which is noted as a direction for further work in Chapter Five.</w:t>
      </w:r>
    </w:p>
    <w:p>
      <w:pPr>
        <w:spacing w:after="240" w:before="240" w:line="480"/>
        <w:jc w:val="center"/>
      </w:pPr>
      <w:r>
        <w:rPr>
          <w:rFonts w:ascii="Times New Roman" w:cs="Times New Roman" w:eastAsia="Times New Roman" w:hAnsi="Times New Roman"/>
          <w:b/>
          <w:bCs/>
          <w:sz w:val="24"/>
          <w:szCs w:val="24"/>
        </w:rPr>
        <w:t xml:space="preserve">CHAPTER FIVE</w:t>
      </w:r>
    </w:p>
    <w:p>
      <w:pPr>
        <w:spacing w:after="240" w:before="240" w:line="480"/>
        <w:jc w:val="center"/>
      </w:pPr>
      <w:r>
        <w:rPr>
          <w:rFonts w:ascii="Times New Roman" w:cs="Times New Roman" w:eastAsia="Times New Roman" w:hAnsi="Times New Roman"/>
          <w:b/>
          <w:bCs/>
          <w:sz w:val="24"/>
          <w:szCs w:val="24"/>
        </w:rPr>
        <w:t xml:space="preserve">SUMMARY, CONCLUSION, AND RECOMMENDATIONS</w:t>
      </w:r>
    </w:p>
    <w:p>
      <w:pPr>
        <w:spacing w:after="200" w:before="320" w:line="480"/>
        <w:jc w:val="left"/>
      </w:pPr>
      <w:r>
        <w:rPr>
          <w:rFonts w:ascii="Times New Roman" w:cs="Times New Roman" w:eastAsia="Times New Roman" w:hAnsi="Times New Roman"/>
          <w:b/>
          <w:bCs/>
          <w:sz w:val="24"/>
          <w:szCs w:val="24"/>
        </w:rPr>
        <w:t xml:space="preserve">5.1 Summary</w:t>
      </w:r>
    </w:p>
    <w:p>
      <w:pPr>
        <w:spacing w:after="240" w:line="480"/>
        <w:jc w:val="both"/>
      </w:pPr>
      <w:r>
        <w:rPr>
          <w:rFonts w:ascii="Times New Roman" w:cs="Times New Roman" w:eastAsia="Times New Roman" w:hAnsi="Times New Roman"/>
          <w:sz w:val="24"/>
          <w:szCs w:val="24"/>
        </w:rPr>
        <w:t xml:space="preserve">This study set out to design, implement, and evaluate a hybrid access control framework integrating Role-Based, Attribute-Based, and Policy-Based Access Control to strengthen database security in Nigerian organizations. Chapter One established the background to the study, the problem that single-model access control leaves Nigerian organizations exposed to insider misuse and NDPA 2023 compliance risk, and the study's aim and objectives. Chapter Two reviewed the conceptual literature on access control models, from Discretionary and Mandatory Access Control through RBAC and ABAC, the theoretical grounding provided by the Policy Machine framework and Zero Trust Architecture, the Nigerian regulatory context established by the NDPA 2023, and the empirical literature on hybrid RBAC-ABAC approaches, identifying the absence of a hybrid RBAC-ABAC-PBAC framework tested specifically within a Nigerian organizational database context. Chapter Three presented the analysis and design of the proposed system, including its architecture, the three-stage Hybrid Access Control Engine, the database design, and the UML models specifying the system. Chapter Four implemented that design as a pilot decision-engine benchmark and tested it, together with pure RBAC-only and pure ABAC-only baselines, against a matrix of legitimate-access, unauthorized-access, attribute-mismatch, privilege-escalation, and policy-conflict scenarios, finding that the hybrid framework produced the correct decision in all five access-decision scenarios and all four authentication-layer scenarios, while each baseline model failed exactly the one scenario that its own design could not, in principle, handle.</w:t>
      </w:r>
    </w:p>
    <w:p>
      <w:pPr>
        <w:spacing w:after="200" w:before="320" w:line="480"/>
        <w:jc w:val="left"/>
      </w:pPr>
      <w:r>
        <w:rPr>
          <w:rFonts w:ascii="Times New Roman" w:cs="Times New Roman" w:eastAsia="Times New Roman" w:hAnsi="Times New Roman"/>
          <w:b/>
          <w:bCs/>
          <w:sz w:val="24"/>
          <w:szCs w:val="24"/>
        </w:rPr>
        <w:t xml:space="preserve">5.2 Conclusion</w:t>
      </w:r>
    </w:p>
    <w:p>
      <w:pPr>
        <w:spacing w:after="240" w:line="480"/>
        <w:jc w:val="both"/>
      </w:pPr>
      <w:r>
        <w:rPr>
          <w:rFonts w:ascii="Times New Roman" w:cs="Times New Roman" w:eastAsia="Times New Roman" w:hAnsi="Times New Roman"/>
          <w:sz w:val="24"/>
          <w:szCs w:val="24"/>
        </w:rPr>
        <w:t xml:space="preserve">The hybrid RBAC-ABAC-PBAC framework designed and tested in this study achieved its stated aim. It met the five research objectives set out in Chapter One: existing access control models were reviewed and their limitations identified, a hybrid framework integrating the three models was designed using UML and an explicit conflict-resolution rule, that design was implemented as a working decision engine, it was tested against a scenario matrix covering legitimate use, misuse, and policy conflict, and its performance was measured against the six stated criteria and compared with single-model baselines. The framework demonstrated complete authorization accuracy across the tested scenarios, at a measured but, in the context of a full production deployment, likely secondary cost in decision-engine latency and throughput relative to either single model in isolation. This supports the conclusion that combining RBAC, ABAC, and PBAC in the staged, policy-can-override architecture specified in Chapter Three is a technically viable approach to closing the specific access control gap identified in Nigerian organizations in Chapter One, without requiring an organization to abandon the administrative simplicity RBAC already provides.</w:t>
      </w:r>
    </w:p>
    <w:p>
      <w:pPr>
        <w:spacing w:after="200" w:before="320" w:line="480"/>
        <w:jc w:val="left"/>
      </w:pPr>
      <w:r>
        <w:rPr>
          <w:rFonts w:ascii="Times New Roman" w:cs="Times New Roman" w:eastAsia="Times New Roman" w:hAnsi="Times New Roman"/>
          <w:b/>
          <w:bCs/>
          <w:sz w:val="24"/>
          <w:szCs w:val="24"/>
        </w:rPr>
        <w:t xml:space="preserve">5.3 Recommendations</w:t>
      </w:r>
    </w:p>
    <w:p>
      <w:pPr>
        <w:spacing w:after="240" w:line="480"/>
        <w:jc w:val="both"/>
      </w:pPr>
      <w:r>
        <w:rPr>
          <w:rFonts w:ascii="Times New Roman" w:cs="Times New Roman" w:eastAsia="Times New Roman" w:hAnsi="Times New Roman"/>
          <w:sz w:val="24"/>
          <w:szCs w:val="24"/>
        </w:rPr>
        <w:t xml:space="preserve">On the basis of the findings in Chapter Four, it is recommended that Nigerian organizations currently relying on a single access control model, particularly a basic RBAC implementation with no contextual or policy-override capability, evaluate a staged hybrid approach of the kind demonstrated in this study, prioritizing it for database systems that hold personal data subject to the NDPA 2023. It is recommended that any organization adopting such a framework maintain the append-only audit logging behavior demonstrated in Chapter Three and Chapter Four, since it is this logging, rather than the specific latency figures measured in the pilot, that most directly supports the security-of-processing obligations discussed in Chapter Two. It is further recommended that future work extend this study by implementing the framework on the full Django, PostgreSQL, Redis, and Locust production stack specified in Chapter Three, so that the response-time and throughput findings reported in Chapter Four can be validated under real network, database, and multi-process conditions rather than the single-process pilot harness used here; by testing the framework against a wider set of resource types, roles, and organizational policies than the single simulated domain used in this study, to assess how the results generalize across the banking, health, education, and government sectors named in Chapter One; and by extending the security evaluation to a broader set of adversarial scenarios beyond token tampering, expiry, and revocation, such as coordinated multi-account privilege-escalation attempts, so that the resistance-to-unauthorized-access criterion is assessed against a wider adversary model than the one used in this pilot study.</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2026-08-11T21:35:32.169Z</dcterms:created>
  <dcterms:modified xsi:type="dcterms:W3CDTF">2026-08-11T21:35:32.183Z</dcterms:modified>
</cp:coreProperties>
</file>

<file path=docProps/custom.xml><?xml version="1.0" encoding="utf-8"?>
<Properties xmlns="http://schemas.openxmlformats.org/officeDocument/2006/custom-properties" xmlns:vt="http://schemas.openxmlformats.org/officeDocument/2006/docPropsVTypes"/>
</file>