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Focaus 技术文档</w:t>
      </w:r>
    </w:p>
    <w:p>
      <w:pPr>
        <w:pStyle w:val="Subtitle"/>
      </w:pPr>
      <w:r>
        <w:t>技术方案 第三方资源 授权情况</w:t>
      </w:r>
    </w:p>
    <w:p>
      <w:pPr>
        <w:spacing w:after="240"/>
      </w:pPr>
      <w:r>
        <w:rPr>
          <w:rFonts w:ascii="Arial" w:hAnsi="Arial" w:eastAsia="Arial Unicode MS"/>
          <w:b w:val="0"/>
          <w:color w:val="000000"/>
          <w:sz w:val="18"/>
        </w:rPr>
        <w:t>团队 Focaus    版本 0.1.0    日期 2026年10月18日</w:t>
      </w:r>
    </w:p>
    <w:p>
      <w:r>
        <w:rPr>
          <w:rFonts w:ascii="Arial" w:hAnsi="Arial" w:eastAsia="Arial Unicode MS"/>
          <w:b w:val="0"/>
          <w:color w:val="000000"/>
          <w:sz w:val="21"/>
        </w:rPr>
        <w:t>Focaus 使用 Tauri 2 与 Rust 构建桌面宿主，使用 React 和 TypeScript 实现工作区界面，并以独立 Python 进程处理课件。当前版本包含本地录音、存储、资料解析和交互演示；云端模型真实链路与完整课堂验收仍待完成。</w:t>
      </w:r>
    </w:p>
    <w:p>
      <w:pPr>
        <w:pStyle w:val="Heading1"/>
      </w:pPr>
      <w:r>
        <w:t>一 系统组成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082"/>
        <w:gridCol w:w="4139"/>
      </w:tblGrid>
      <w:tr>
        <w:trPr>
          <w:cantSplit/>
          <w:tblHeader/>
        </w:trPr>
        <w:tc>
          <w:tcPr>
            <w:tcW w:type="dxa" w:w="1417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模块</w:t>
            </w:r>
          </w:p>
        </w:tc>
        <w:tc>
          <w:tcPr>
            <w:tcW w:type="dxa" w:w="4082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主要职责</w:t>
            </w:r>
          </w:p>
        </w:tc>
        <w:tc>
          <w:tcPr>
            <w:tcW w:type="dxa" w:w="4139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技术与边界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桌面界面</w:t>
            </w:r>
          </w:p>
        </w:tc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课程与课堂工作区、内容编辑、搜索、来源定位和交互对象。</w:t>
            </w:r>
          </w:p>
        </w:tc>
        <w:tc>
          <w:tcPr>
            <w:tcW w:type="dxa" w:w="4139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React 19、TypeScript、HeroUI v3；经受控接口访问宿主。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原生宿主</w:t>
            </w:r>
          </w:p>
        </w:tc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管理窗口、麦克风、资源库、任务、持久化及事件。</w:t>
            </w:r>
          </w:p>
        </w:tc>
        <w:tc>
          <w:tcPr>
            <w:tcW w:type="dxa" w:w="4139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Tauri 2、Rust、CPAL、rusqlite；SQLite 单一持久化入口。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AI 流程模块</w:t>
            </w:r>
          </w:p>
        </w:tc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组织实时及非实时转写、二次转写、生成、进度与 focaus。</w:t>
            </w:r>
          </w:p>
        </w:tc>
        <w:tc>
          <w:tcPr>
            <w:tcW w:type="dxa" w:w="4139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独立 Rust crate；通过受控传输层调用模型，结果先作为候选。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资料转换引擎</w:t>
            </w:r>
          </w:p>
        </w:tc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读取 PDF、PPTX、文本和图片，输出页、对象、来源与覆盖情况。</w:t>
            </w:r>
          </w:p>
        </w:tc>
        <w:tc>
          <w:tcPr>
            <w:tcW w:type="dxa" w:w="4139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Python 标准库与 JSON Lines；可选调用 pdftoppm 和 soffice。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公共契约</w:t>
            </w:r>
          </w:p>
        </w:tc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统一命令、事件、身份、来源、任务与版本字段。</w:t>
            </w:r>
          </w:p>
        </w:tc>
        <w:tc>
          <w:tcPr>
            <w:tcW w:type="dxa" w:w="4139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单源 Schema 生成 TypeScript 和 Rust 类型，并配有结构及语义样例。</w:t>
            </w:r>
          </w:p>
        </w:tc>
      </w:tr>
    </w:tbl>
    <w:p>
      <w:pPr>
        <w:spacing w:after="40" w:line="20" w:lineRule="exact"/>
      </w:pPr>
      <w:r>
        <w:rPr>
          <w:rFonts w:ascii="Arial" w:hAnsi="Arial" w:eastAsia="Arial Unicode MS"/>
          <w:b w:val="0"/>
          <w:color w:val="000000"/>
          <w:sz w:val="2"/>
        </w:rPr>
      </w:r>
    </w:p>
    <w:p>
      <w:pPr>
        <w:pStyle w:val="Heading1"/>
      </w:pPr>
      <w:r>
        <w:t>二 主要数据流</w:t>
      </w:r>
    </w:p>
    <w:p>
      <w:r>
        <w:rPr>
          <w:rFonts w:ascii="Arial" w:hAnsi="Arial" w:eastAsia="Arial Unicode MS"/>
          <w:b w:val="0"/>
          <w:color w:val="000000"/>
          <w:sz w:val="21"/>
        </w:rPr>
        <w:t>课堂录音由宿主采集并分段保存，转写链路引用原始时间坐标。课件由宿主管理原件，再交给资料引擎生成候选对象包。AI 流程读取指定来源快照，产出整理或订正候选；宿主校验版本、来源和用户编辑保护后，将可接受的结果写入本地资料库，再推送到界面。</w:t>
      </w:r>
    </w:p>
    <w:p>
      <w:r>
        <w:rPr>
          <w:rFonts w:ascii="Arial" w:hAnsi="Arial" w:eastAsia="Arial Unicode MS"/>
          <w:b w:val="0"/>
          <w:color w:val="000000"/>
          <w:sz w:val="21"/>
        </w:rPr>
        <w:t>本地 Demo 使用另一条明确标注的演示路径：浏览器麦克风采集状态与预设句段回放共同驱动交互展示。回放文本并非由本次音频识别得到。</w:t>
      </w:r>
    </w:p>
    <w:p>
      <w:pPr>
        <w:pStyle w:val="Heading1"/>
      </w:pPr>
      <w:r>
        <w:t>三 平台与构建</w:t>
      </w:r>
    </w:p>
    <w:p>
      <w:r>
        <w:rPr>
          <w:rFonts w:ascii="Arial" w:hAnsi="Arial" w:eastAsia="Arial Unicode MS"/>
          <w:b w:val="0"/>
          <w:color w:val="000000"/>
          <w:sz w:val="21"/>
        </w:rPr>
        <w:t>目标平台为 macOS，应用配置的最低系统版本为 macOS 13.0；该配置不等同于已完成所有系统版本兼容测试。前端以 Vite 构建，工作区使用 pnpm；Rust 使用 Cargo；资料引擎声明支持 Python 3.9 及以上。项目版本为 0.1.0。</w:t>
      </w:r>
    </w:p>
    <w:p>
      <w:pPr>
        <w:pStyle w:val="Heading1"/>
        <w:pageBreakBefore/>
      </w:pPr>
      <w:r>
        <w:t>四 关键技术实现</w:t>
      </w:r>
    </w:p>
    <w:p>
      <w:pPr>
        <w:pStyle w:val="Heading2"/>
      </w:pPr>
      <w:r>
        <w:t>内容身份与来源</w:t>
      </w:r>
    </w:p>
    <w:p>
      <w:r>
        <w:rPr>
          <w:rFonts w:ascii="Arial" w:hAnsi="Arial" w:eastAsia="Arial Unicode MS"/>
          <w:b w:val="0"/>
          <w:color w:val="000000"/>
          <w:sz w:val="21"/>
        </w:rPr>
        <w:t>内容以稳定 ID、revision 和来源引用关联，保存原页、区域、音频区间及来源版本。原始转写、二次转写和笔记各有职责；用户修改和删除意图参与候选结果的合并判断，避免迟到结果覆盖新内容。</w:t>
      </w:r>
    </w:p>
    <w:p>
      <w:pPr>
        <w:pStyle w:val="Heading2"/>
      </w:pPr>
      <w:r>
        <w:t>录音与本地持久化</w:t>
      </w:r>
    </w:p>
    <w:p>
      <w:r>
        <w:rPr>
          <w:rFonts w:ascii="Arial" w:hAnsi="Arial" w:eastAsia="Arial Unicode MS"/>
          <w:b w:val="0"/>
          <w:color w:val="000000"/>
          <w:sz w:val="21"/>
        </w:rPr>
        <w:t>原生音频由 CPAL 采集。采集与原声写入独立于低优先级生成任务，保存持久化水位、分段记录和异常信息。SQLite 保存实体、任务与事件；录音重启后保留可恢复状态，不自动打开麦克风。短时真实采集已有记录，长录音及关窗持续采集仍需专项验收。</w:t>
      </w:r>
    </w:p>
    <w:p>
      <w:pPr>
        <w:pStyle w:val="Heading2"/>
      </w:pPr>
      <w:r>
        <w:t>课件解析与交互对象</w:t>
      </w:r>
    </w:p>
    <w:p>
      <w:r>
        <w:rPr>
          <w:rFonts w:ascii="Arial" w:hAnsi="Arial" w:eastAsia="Arial Unicode MS"/>
          <w:b w:val="0"/>
          <w:color w:val="000000"/>
          <w:sz w:val="21"/>
        </w:rPr>
        <w:t>资料格式为 focaus.material/2.0.0，支持页级检查点、不可变解析快照和资源哈希。PDF 原生文字和 PPTX 结构可本地抽取；无文字层页面、复杂图表和公式会保留部分可用或未处理状态。交互对象采用受控模板与参数，不直接执行任意模型生成代码。</w:t>
      </w:r>
    </w:p>
    <w:p>
      <w:pPr>
        <w:pStyle w:val="Heading2"/>
      </w:pPr>
      <w:r>
        <w:t>搜索与模型调用</w:t>
      </w:r>
    </w:p>
    <w:p>
      <w:r>
        <w:rPr>
          <w:rFonts w:ascii="Arial" w:hAnsi="Arial" w:eastAsia="Arial Unicode MS"/>
          <w:b w:val="0"/>
          <w:color w:val="000000"/>
          <w:sz w:val="21"/>
        </w:rPr>
        <w:t>搜索为宿主本地可重建投影，采用 Unicode 规范化与稳定锚点映射。模型调用区分实时转写、文件转写、进度决策及生成图文四个用途，并严格绑定独立凭据槽位。凭据不进入前端、资料引擎或文档。</w:t>
      </w:r>
    </w:p>
    <w:p>
      <w:pPr>
        <w:pStyle w:val="Heading1"/>
      </w:pPr>
      <w:r>
        <w:t>五 协议版本与验证状态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195"/>
        <w:gridCol w:w="4025"/>
      </w:tblGrid>
      <w:tr>
        <w:trPr>
          <w:cantSplit/>
          <w:tblHeader/>
        </w:trPr>
        <w:tc>
          <w:tcPr>
            <w:tcW w:type="dxa" w:w="1417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195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版本或现有证据</w:t>
            </w:r>
          </w:p>
        </w:tc>
        <w:tc>
          <w:tcPr>
            <w:tcW w:type="dxa" w:w="4025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结论边界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公共协议</w:t>
            </w:r>
          </w:p>
        </w:tc>
        <w:tc>
          <w:tcPr>
            <w:tcW w:type="dxa" w:w="419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contract_version 2.0.0；visualization 1.0.0</w:t>
            </w:r>
          </w:p>
        </w:tc>
        <w:tc>
          <w:tcPr>
            <w:tcW w:type="dxa" w:w="402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未知版本拒写或明确降级；版本号不代表功能验收。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原生与存储</w:t>
            </w:r>
          </w:p>
        </w:tc>
        <w:tc>
          <w:tcPr>
            <w:tcW w:type="dxa" w:w="419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已有真实 NativeHost、SQLite、窗口恢复和短时麦克风采集记录。</w:t>
            </w:r>
          </w:p>
        </w:tc>
        <w:tc>
          <w:tcPr>
            <w:tcW w:type="dxa" w:w="402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不等同于长录音、关窗后台采集或全场景恢复通过。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资料引擎</w:t>
            </w:r>
          </w:p>
        </w:tc>
        <w:tc>
          <w:tcPr>
            <w:tcW w:type="dxa" w:w="419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已有 PDF、PPTX 及子进程测试；L08、L09 PDF 各 82、86 页的本地抽取记录。</w:t>
            </w:r>
          </w:p>
        </w:tc>
        <w:tc>
          <w:tcPr>
            <w:tcW w:type="dxa" w:w="402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搜索覆盖部分可用；复杂对象语义与真实 UI 定位待验收。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前端与契约</w:t>
            </w:r>
          </w:p>
        </w:tc>
        <w:tc>
          <w:tcPr>
            <w:tcW w:type="dxa" w:w="419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现有记录包含类型检查、桌面 12 项测试、构建和 37 个 TypeScript 契约样例通过。</w:t>
            </w:r>
          </w:p>
        </w:tc>
        <w:tc>
          <w:tcPr>
            <w:tcW w:type="dxa" w:w="402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为既有开发记录；不证明真实云调用及课堂学习效果。</w:t>
            </w:r>
          </w:p>
        </w:tc>
      </w:tr>
    </w:tbl>
    <w:p>
      <w:pPr>
        <w:spacing w:after="40" w:line="20" w:lineRule="exact"/>
      </w:pPr>
      <w:r>
        <w:rPr>
          <w:rFonts w:ascii="Arial" w:hAnsi="Arial" w:eastAsia="Arial Unicode MS"/>
          <w:b w:val="0"/>
          <w:color w:val="000000"/>
          <w:sz w:val="2"/>
        </w:rPr>
      </w:r>
    </w:p>
    <w:p>
      <w:r>
        <w:rPr>
          <w:rFonts w:ascii="Arial" w:hAnsi="Arial" w:eastAsia="Arial Unicode MS"/>
          <w:b w:val="0"/>
          <w:color w:val="000000"/>
          <w:sz w:val="21"/>
        </w:rPr>
        <w:t>性能目标包括 focaus 完整输出不超过 15 秒、讲授进度约每 10 秒更新决策。当前没有真实云模型准确率、端到端延迟或完整课程回放的验收结论。</w:t>
      </w:r>
    </w:p>
    <w:p>
      <w:pPr>
        <w:pStyle w:val="Heading1"/>
        <w:pageBreakBefore/>
      </w:pPr>
      <w:r>
        <w:t>六 前端与开发工具资源</w:t>
      </w:r>
    </w:p>
    <w:p>
      <w:r>
        <w:rPr>
          <w:rFonts w:ascii="Arial" w:hAnsi="Arial" w:eastAsia="Arial Unicode MS"/>
          <w:b w:val="0"/>
          <w:color w:val="000000"/>
          <w:sz w:val="21"/>
        </w:rPr>
        <w:t>下表列示应用和契约工作区的直接第三方依赖。版本来自本地锁文件；许可证来自相应本地包元数据。工作区内 @focaus/contracts 属项目自身模块。传递依赖仍应随实际分发版本保留完整声明。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3515"/>
        <w:gridCol w:w="2041"/>
      </w:tblGrid>
      <w:tr>
        <w:trPr>
          <w:cantSplit/>
          <w:tblHeader/>
        </w:trPr>
        <w:tc>
          <w:tcPr>
            <w:tcW w:type="dxa" w:w="4082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资源与版本</w:t>
            </w:r>
          </w:p>
        </w:tc>
        <w:tc>
          <w:tcPr>
            <w:tcW w:type="dxa" w:w="3515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用途</w:t>
            </w:r>
          </w:p>
        </w:tc>
        <w:tc>
          <w:tcPr>
            <w:tcW w:type="dxa" w:w="2041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许可证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react 19.3.1</w:t>
              <w:br/>
              <w:t>react-dom 19.3.1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运行时 组件与 DOM 渲染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@heroui/react 3.2.6</w:t>
              <w:br/>
              <w:t>@heroui/styles 3.2.6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运行时 界面组件与样式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@tauri-apps/api 2.12.4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运行时 宿主通信接口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Apache-2.0 OR MIT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typescript 5.9.3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开发 类型检查与编译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Apache-2.0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@types/node 24.19.2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开发 Node.js 类型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@types/react 19.3.0</w:t>
              <w:br/>
              <w:t>@types/react-dom 19.3.0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开发 React 类型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vite 7.3.7</w:t>
              <w:br/>
              <w:t>@vitejs/plugin-react 5.2.0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开发 构建与 React 集成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tailwindcss 4.3.3</w:t>
              <w:br/>
              <w:t>@tailwindcss/vite 4.3.3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开发 样式编译与集成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vitest 3.2.7</w:t>
              <w:br/>
              <w:t>jsdom 26.1.0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测试 单元测试与 DOM 环境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ajv 8.20.0</w:t>
              <w:br/>
              <w:t>ajv-formats 3.0.1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测试 Schema 与格式校验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canonicalize 2.1.0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测试 JSON 规范化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Apache-2.0</w:t>
            </w:r>
          </w:p>
        </w:tc>
      </w:tr>
    </w:tbl>
    <w:p>
      <w:pPr>
        <w:spacing w:after="40" w:line="20" w:lineRule="exact"/>
      </w:pPr>
      <w:r>
        <w:rPr>
          <w:rFonts w:ascii="Arial" w:hAnsi="Arial" w:eastAsia="Arial Unicode MS"/>
          <w:b w:val="0"/>
          <w:color w:val="000000"/>
          <w:sz w:val="2"/>
        </w:rPr>
      </w:r>
    </w:p>
    <w:p>
      <w:pPr>
        <w:pStyle w:val="Heading2"/>
      </w:pPr>
      <w:r>
        <w:t>路演工具</w:t>
      </w:r>
    </w:p>
    <w:p>
      <w:r>
        <w:rPr>
          <w:rFonts w:ascii="Arial" w:hAnsi="Arial" w:eastAsia="Arial Unicode MS"/>
          <w:b w:val="0"/>
          <w:color w:val="000000"/>
          <w:sz w:val="21"/>
        </w:rPr>
        <w:t>独立路演目录使用 @slidev/theme-default 0.25.0（MIT）；echarts 6.1.0（Apache-2.0）；gsap 3.15.0（GSAP Standard no charge 专用许可）；vue 3.5.44（MIT）；vue-echarts 8.3.2（MIT）；@slidev/cli 53.0.0（MIT）；@playwright/test 1.64.1（Apache-2.0）；playwright-chromium 1.64.1（Apache-2.0）。该目录属于演示工具，不是桌面应用的运行依赖。其 TypeScript 5.9.3 与 @types/node 24.19.2 分别采用 Apache-2.0 和 MIT。GSAP 应按专用许可原文核对具体用途与分发条件，不能直接视作 MIT 类许可。</w:t>
      </w:r>
    </w:p>
    <w:p>
      <w:pPr>
        <w:pStyle w:val="Heading2"/>
      </w:pPr>
      <w:r>
        <w:t>许可证保留方式</w:t>
      </w:r>
    </w:p>
    <w:p>
      <w:r>
        <w:rPr>
          <w:rFonts w:ascii="Arial" w:hAnsi="Arial" w:eastAsia="Arial Unicode MS"/>
          <w:b w:val="0"/>
          <w:color w:val="000000"/>
          <w:sz w:val="21"/>
        </w:rPr>
        <w:t>MIT、ISC 和 BSD 类依赖在分发时按具体许可证保留版权与许可文本；Apache-2.0 依赖同时核对适用 NOTICE 和修改标识要求。双许可组件按实际选择的许可遵循。开发工具与应用运行依赖分开列示，不因只用于构建而省略其实际再分发条件。</w:t>
      </w:r>
    </w:p>
    <w:p>
      <w:pPr>
        <w:pStyle w:val="Heading1"/>
        <w:pageBreakBefore/>
      </w:pPr>
      <w:r>
        <w:t>七 原生与外部转换资源</w:t>
      </w:r>
    </w:p>
    <w:p>
      <w:r>
        <w:rPr>
          <w:rFonts w:ascii="Arial" w:hAnsi="Arial" w:eastAsia="Arial Unicode MS"/>
          <w:b w:val="0"/>
          <w:color w:val="000000"/>
          <w:sz w:val="21"/>
        </w:rPr>
        <w:t>下表列示 Rust 工作区的直接第三方依赖，版本和许可证依据精确版本的本地注册表元数据。内部 focaus-ai 和 focaus-contracts 不计作第三方库。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3515"/>
        <w:gridCol w:w="2041"/>
      </w:tblGrid>
      <w:tr>
        <w:trPr>
          <w:cantSplit/>
          <w:tblHeader/>
        </w:trPr>
        <w:tc>
          <w:tcPr>
            <w:tcW w:type="dxa" w:w="4082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资源与版本</w:t>
            </w:r>
          </w:p>
        </w:tc>
        <w:tc>
          <w:tcPr>
            <w:tcW w:type="dxa" w:w="3515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用途</w:t>
            </w:r>
          </w:p>
        </w:tc>
        <w:tc>
          <w:tcPr>
            <w:tcW w:type="dxa" w:w="2041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许可证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serde 1.0.229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数据序列化与反序列化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 OR Apache-2.0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serde_json 1.0.154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JSON 解析与构造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 OR Apache-2.0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jsonschema 0.33.0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公共契约校验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sha2 0.10.9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资源与内容哈希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 OR Apache-2.0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serde_json_canonicalizer 0.3.2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JSON 规范化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tokio 1.53.3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异步运行时与任务调度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reqwest 0.12.28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HTTP 传输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 OR Apache-2.0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tokio-tungstenite 0.28.0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WebSocket 传输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futures-util 0.3.34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异步流控制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 OR Apache-2.0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rusqlite 0.32.1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SQLite 本地数据库访问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cpal 0.16.0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麦克风音频采集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Apache-2.0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unicode-normalization 0.1.22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Unicode 规范化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MIT/Apache-2.0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tauri 2.12.4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桌面外壳 托盘与窗口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Apache-2.0 OR MIT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uuid 1.28.0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稳定实体 ID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Apache-2.0 OR MIT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objc2 0.6.5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macOS 运行时绑定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objc2-app-kit 0.3.2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macOS AppKit 接口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Zlib OR Apache-2.0 OR MIT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objc2-foundation 0.3.2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macOS Foundation 接口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MIT</w:t>
            </w:r>
          </w:p>
        </w:tc>
      </w:tr>
      <w:tr>
        <w:trPr>
          <w:cantSplit/>
        </w:trPr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tauri-build 2.7.3</w:t>
            </w:r>
          </w:p>
        </w:tc>
        <w:tc>
          <w:tcPr>
            <w:tcW w:type="dxa" w:w="351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构建时代码生成</w:t>
            </w:r>
          </w:p>
        </w:tc>
        <w:tc>
          <w:tcPr>
            <w:tcW w:type="dxa" w:w="204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Apache-2.0 OR MIT</w:t>
            </w:r>
          </w:p>
        </w:tc>
      </w:tr>
    </w:tbl>
    <w:p>
      <w:pPr>
        <w:spacing w:after="40" w:line="20" w:lineRule="exact"/>
      </w:pPr>
      <w:r>
        <w:rPr>
          <w:rFonts w:ascii="Arial" w:hAnsi="Arial" w:eastAsia="Arial Unicode MS"/>
          <w:b w:val="0"/>
          <w:color w:val="000000"/>
          <w:sz w:val="2"/>
        </w:rPr>
      </w:r>
    </w:p>
    <w:p>
      <w:pPr>
        <w:pStyle w:val="Heading2"/>
      </w:pPr>
      <w:r>
        <w:t>可选宿主工具</w:t>
      </w:r>
    </w:p>
    <w:p>
      <w:r>
        <w:rPr>
          <w:rFonts w:ascii="Arial" w:hAnsi="Arial" w:eastAsia="Arial Unicode MS"/>
          <w:b w:val="0"/>
          <w:color w:val="000000"/>
          <w:sz w:val="21"/>
        </w:rPr>
        <w:t>资料引擎可按需调用宿主的 pdftoppm（Poppler，GPL 系列，具体版本与许可以实际发行版为准）及 soffice（LibreOffice，上游主要采用 MPL-2.0，第三方组件另有许可）。当前项目以外部进程调用，仓库未直接捆绑这些可执行文件。若随应用打包，仍须核对该构建的许可证、源码提供及声明义务；进程边界不能替代许可核对。</w:t>
      </w:r>
    </w:p>
    <w:p>
      <w:r>
        <w:rPr>
          <w:rFonts w:ascii="Arial" w:hAnsi="Arial" w:eastAsia="Arial Unicode MS"/>
          <w:b w:val="0"/>
          <w:color w:val="000000"/>
          <w:sz w:val="21"/>
        </w:rPr>
        <w:t>Python 资料引擎自身未声明第三方 Python 包依赖；其 PDF、PPTX 基础解析使用标准库。项目自有 Rust 工作区当前标记 UNLICENSED，package.json 标记 private，不应将这些字段解释为授予公众开源使用许可。</w:t>
      </w:r>
    </w:p>
    <w:p>
      <w:pPr>
        <w:pStyle w:val="Heading1"/>
        <w:pageBreakBefore/>
      </w:pPr>
      <w:r>
        <w:t>八 云模型与开发辅助工具</w:t>
      </w:r>
    </w:p>
    <w:p>
      <w:r>
        <w:rPr>
          <w:rFonts w:ascii="Arial" w:hAnsi="Arial" w:eastAsia="Arial Unicode MS"/>
          <w:b w:val="0"/>
          <w:color w:val="000000"/>
          <w:sz w:val="21"/>
        </w:rPr>
        <w:t>模型服务供应方为阿里云百炼，配置地域为北京。以下名称是代码中的精确模型绑定；服务可用性、账户权限、费用、输入数据处理和输出权利受实际服务条款约束，不适用本地代码库的开源许可证。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2098"/>
        <w:gridCol w:w="2891"/>
      </w:tblGrid>
      <w:tr>
        <w:trPr>
          <w:cantSplit/>
          <w:tblHeader/>
        </w:trPr>
        <w:tc>
          <w:tcPr>
            <w:tcW w:type="dxa" w:w="4649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模型</w:t>
            </w:r>
          </w:p>
        </w:tc>
        <w:tc>
          <w:tcPr>
            <w:tcW w:type="dxa" w:w="2098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计划用途</w:t>
            </w:r>
          </w:p>
        </w:tc>
        <w:tc>
          <w:tcPr>
            <w:tcW w:type="dxa" w:w="2891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实际状态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qwen-audio-3.1-asr-flash-streaming</w:t>
            </w:r>
          </w:p>
        </w:tc>
        <w:tc>
          <w:tcPr>
            <w:tcW w:type="dxa" w:w="209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实时语音识别</w:t>
            </w:r>
          </w:p>
        </w:tc>
        <w:tc>
          <w:tcPr>
            <w:tcW w:type="dxa" w:w="289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协议与本地回放已实现；真实云链路未验证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qwen-audio-3.1-asr-flash-filetrans</w:t>
            </w:r>
          </w:p>
        </w:tc>
        <w:tc>
          <w:tcPr>
            <w:tcW w:type="dxa" w:w="209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积压与非实时音频转写</w:t>
            </w:r>
          </w:p>
        </w:tc>
        <w:tc>
          <w:tcPr>
            <w:tcW w:type="dxa" w:w="289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适配逻辑已实现；真实调用未验证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decision-model-preview</w:t>
            </w:r>
          </w:p>
        </w:tc>
        <w:tc>
          <w:tcPr>
            <w:tcW w:type="dxa" w:w="209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讲授进度决策</w:t>
            </w:r>
          </w:p>
        </w:tc>
        <w:tc>
          <w:tcPr>
            <w:tcW w:type="dxa" w:w="289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本地逻辑已有；真实效果与时效待验收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qwen3.8-flash</w:t>
            </w:r>
          </w:p>
        </w:tc>
        <w:tc>
          <w:tcPr>
            <w:tcW w:type="dxa" w:w="209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生成、图文与理解衔接</w:t>
            </w:r>
          </w:p>
        </w:tc>
        <w:tc>
          <w:tcPr>
            <w:tcW w:type="dxa" w:w="2891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候选处理逻辑已有；真实效果待验收</w:t>
            </w:r>
          </w:p>
        </w:tc>
      </w:tr>
    </w:tbl>
    <w:p>
      <w:pPr>
        <w:spacing w:after="40" w:line="20" w:lineRule="exact"/>
      </w:pPr>
      <w:r>
        <w:rPr>
          <w:rFonts w:ascii="Arial" w:hAnsi="Arial" w:eastAsia="Arial Unicode MS"/>
          <w:b w:val="0"/>
          <w:color w:val="000000"/>
          <w:sz w:val="2"/>
        </w:rPr>
      </w:r>
    </w:p>
    <w:p>
      <w:r>
        <w:rPr>
          <w:rFonts w:ascii="Arial" w:hAnsi="Arial" w:eastAsia="Arial Unicode MS"/>
          <w:b w:val="0"/>
          <w:color w:val="000000"/>
          <w:sz w:val="21"/>
        </w:rPr>
        <w:t>开发过程中使用 Codex，并使用 Gemini 辅助进行有限任务执行或核对。上述工具属于开发辅助，不是产品终端用户的运行模型依赖。提交方应核实生成代码、文本及素材来源，遵守工具条款与赛事对 AI 辅助开发的披露要求。</w:t>
      </w:r>
    </w:p>
    <w:p>
      <w:pPr>
        <w:pStyle w:val="Heading1"/>
      </w:pPr>
      <w:r>
        <w:t>九 素材与数据来源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365"/>
        <w:gridCol w:w="3345"/>
      </w:tblGrid>
      <w:tr>
        <w:trPr>
          <w:cantSplit/>
          <w:tblHeader/>
        </w:trPr>
        <w:tc>
          <w:tcPr>
            <w:tcW w:type="dxa" w:w="1928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资源</w:t>
            </w:r>
          </w:p>
        </w:tc>
        <w:tc>
          <w:tcPr>
            <w:tcW w:type="dxa" w:w="4365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用途与来源</w:t>
            </w:r>
          </w:p>
        </w:tc>
        <w:tc>
          <w:tcPr>
            <w:tcW w:type="dxa" w:w="3345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8"/>
              </w:rPr>
              <w:t>授权情况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深度学习课件</w:t>
            </w:r>
          </w:p>
        </w:tc>
        <w:tc>
          <w:tcPr>
            <w:tcW w:type="dxa" w:w="436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本地 L08 与 L09 PDF，用于解析与来源定位验证。</w:t>
            </w:r>
          </w:p>
        </w:tc>
        <w:tc>
          <w:tcPr>
            <w:tcW w:type="dxa" w:w="334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课件权利归原权利人；对外参赛展示及再分发授权待确认。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课堂音频</w:t>
            </w:r>
          </w:p>
        </w:tc>
        <w:tc>
          <w:tcPr>
            <w:tcW w:type="dxa" w:w="436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本地两份 qta 录音及解码验证记录；原件未纳入 Git。</w:t>
            </w:r>
          </w:p>
        </w:tc>
        <w:tc>
          <w:tcPr>
            <w:tcW w:type="dxa" w:w="334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录制、使用及对外披露的授权范围待确认。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演示文本与对象</w:t>
            </w:r>
          </w:p>
        </w:tc>
        <w:tc>
          <w:tcPr>
            <w:tcW w:type="dxa" w:w="436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参考本地课程内容定制的卷积句段、课件和二维示例。</w:t>
            </w:r>
          </w:p>
        </w:tc>
        <w:tc>
          <w:tcPr>
            <w:tcW w:type="dxa" w:w="334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不作为真实 ASR 结果；涉及课件派生内容时一并确认授权。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图标与标识</w:t>
            </w:r>
          </w:p>
        </w:tc>
        <w:tc>
          <w:tcPr>
            <w:tcW w:type="dxa" w:w="436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应用 icon.png 及路演 favicon.svg。</w:t>
            </w:r>
          </w:p>
        </w:tc>
        <w:tc>
          <w:tcPr>
            <w:tcW w:type="dxa" w:w="3345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8"/>
              </w:rPr>
              <w:t>已有本地文件；作者、来源与许可证明待团队确认。</w:t>
            </w:r>
          </w:p>
        </w:tc>
      </w:tr>
    </w:tbl>
    <w:p>
      <w:pPr>
        <w:spacing w:after="40" w:line="20" w:lineRule="exact"/>
      </w:pPr>
      <w:r>
        <w:rPr>
          <w:rFonts w:ascii="Arial" w:hAnsi="Arial" w:eastAsia="Arial Unicode MS"/>
          <w:b w:val="0"/>
          <w:color w:val="000000"/>
          <w:sz w:val="2"/>
        </w:rPr>
      </w:r>
    </w:p>
    <w:p>
      <w:r>
        <w:rPr>
          <w:rFonts w:ascii="Arial" w:hAnsi="Arial" w:eastAsia="Arial Unicode MS"/>
          <w:b w:val="0"/>
          <w:color w:val="000000"/>
          <w:sz w:val="21"/>
        </w:rPr>
        <w:t>界面 CSS 引用了 Inter、系统 UI 字体及苹方等回退字体；已查范围未发现应用内自带字体文件或远程字体导入。字体名称声明不等同于嵌入或再分发字体文件；若后续打包字体，应补充具体文件及其许可。</w:t>
      </w:r>
    </w:p>
    <w:p>
      <w:pPr>
        <w:pStyle w:val="Heading1"/>
        <w:pageBreakBefore/>
      </w:pPr>
      <w:r>
        <w:t>十 授权情况与提交条件</w:t>
      </w:r>
    </w:p>
    <w:p>
      <w:r>
        <w:rPr>
          <w:rFonts w:ascii="Arial" w:hAnsi="Arial" w:eastAsia="Arial Unicode MS"/>
          <w:b w:val="0"/>
          <w:color w:val="000000"/>
          <w:sz w:val="21"/>
        </w:rPr>
        <w:t>资源授权应分别核对代码许可、服务合同与内容权利。开源依赖的许可证不授予课件、录音、商标或云服务的使用权；本文件也不作为权利人授权书。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139"/>
        <w:gridCol w:w="4082"/>
      </w:tblGrid>
      <w:tr>
        <w:trPr>
          <w:cantSplit/>
          <w:tblHeader/>
        </w:trPr>
        <w:tc>
          <w:tcPr>
            <w:tcW w:type="dxa" w:w="1417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4139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当前情况</w:t>
            </w:r>
          </w:p>
        </w:tc>
        <w:tc>
          <w:tcPr>
            <w:tcW w:type="dxa" w:w="4082"/>
            <w:vAlign w:val="center"/>
            <w:shd w:fill="E9EDF1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/>
                <w:color w:val="000000"/>
                <w:sz w:val="19"/>
              </w:rPr>
              <w:t>提交或分发前处理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开源代码</w:t>
            </w:r>
          </w:p>
        </w:tc>
        <w:tc>
          <w:tcPr>
            <w:tcW w:type="dxa" w:w="4139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直接依赖已列示许可，存在各自版权声明要求。</w:t>
            </w:r>
          </w:p>
        </w:tc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按最终构建导出完整依赖清单，随实际分发材料保留 LICENSE 和适用 NOTICE。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云服务</w:t>
            </w:r>
          </w:p>
        </w:tc>
        <w:tc>
          <w:tcPr>
            <w:tcW w:type="dxa" w:w="4139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已有模型绑定；当前本地 Demo 不调用云模型。</w:t>
            </w:r>
          </w:p>
        </w:tc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确认账户、地域、费用和数据处理条款；有实际调用时披露相应范围。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课件与录音</w:t>
            </w:r>
          </w:p>
        </w:tc>
        <w:tc>
          <w:tcPr>
            <w:tcW w:type="dxa" w:w="4139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本地验证及派生演示已涉及外部教学内容；未见对外参赛再分发授权凭据。</w:t>
            </w:r>
          </w:p>
        </w:tc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补齐权利人对参赛展示及提交范围的授权，或替换为团队自制或明确许可的材料。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应用图标</w:t>
            </w:r>
          </w:p>
        </w:tc>
        <w:tc>
          <w:tcPr>
            <w:tcW w:type="dxa" w:w="4139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存在应用 icon.png；创作来源未由成员确认。</w:t>
            </w:r>
          </w:p>
        </w:tc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补充作者与来源证明，或替换为权利清晰的自制图标。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原创声明</w:t>
            </w:r>
          </w:p>
        </w:tc>
        <w:tc>
          <w:tcPr>
            <w:tcW w:type="dxa" w:w="4139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已列示拟声明范围并留出两位成员签名位置。</w:t>
            </w:r>
          </w:p>
        </w:tc>
        <w:tc>
          <w:tcPr>
            <w:tcW w:type="dxa" w:w="4082"/>
            <w:vAlign w:val="center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Arial Unicode MS"/>
                <w:b w:val="0"/>
                <w:color w:val="000000"/>
                <w:sz w:val="19"/>
              </w:rPr>
              <w:t>成员核实实际贡献、AI 辅助和外部素材后签署。</w:t>
            </w:r>
          </w:p>
        </w:tc>
      </w:tr>
    </w:tbl>
    <w:p>
      <w:pPr>
        <w:spacing w:after="40" w:line="20" w:lineRule="exact"/>
      </w:pPr>
      <w:r>
        <w:rPr>
          <w:rFonts w:ascii="Arial" w:hAnsi="Arial" w:eastAsia="Arial Unicode MS"/>
          <w:b w:val="0"/>
          <w:color w:val="000000"/>
          <w:sz w:val="2"/>
        </w:rPr>
      </w:r>
    </w:p>
    <w:p>
      <w:pPr>
        <w:pStyle w:val="Heading1"/>
      </w:pPr>
      <w:r>
        <w:t>十一 技术与授权依据</w:t>
      </w:r>
    </w:p>
    <w:p>
      <w:r>
        <w:rPr>
          <w:rFonts w:ascii="Arial" w:hAnsi="Arial" w:eastAsia="Arial Unicode MS"/>
          <w:b w:val="0"/>
          <w:color w:val="000000"/>
          <w:sz w:val="21"/>
        </w:rPr>
        <w:t>技术实现以当前代码及最新开发状态为准。早期工程设计文档中关于“尚无实现”的历史状态已被后续开发记录更新，不能用作当前版本的功能状态。</w:t>
      </w:r>
    </w:p>
    <w:p>
      <w:r>
        <w:rPr>
          <w:rFonts w:ascii="Arial" w:hAnsi="Arial" w:eastAsia="Arial Unicode MS"/>
          <w:b w:val="0"/>
          <w:color w:val="000000"/>
          <w:sz w:val="21"/>
        </w:rPr>
        <w:t>应用与依赖：package.json、apps/desktop/package.json、Cargo.toml、apps/desktop/src-tauri/Cargo.toml、crates/*/Cargo.toml、pnpm-lock.yaml 和 Cargo.lock。</w:t>
      </w:r>
    </w:p>
    <w:p>
      <w:r>
        <w:rPr>
          <w:rFonts w:ascii="Arial" w:hAnsi="Arial" w:eastAsia="Arial Unicode MS"/>
          <w:b w:val="0"/>
          <w:color w:val="000000"/>
          <w:sz w:val="21"/>
        </w:rPr>
        <w:t>协议与转换：schemas/contracts.schema.json、engines/material/pyproject.toml、engines/material/README.md 和 material_engine 实现。</w:t>
      </w:r>
    </w:p>
    <w:p>
      <w:r>
        <w:rPr>
          <w:rFonts w:ascii="Arial" w:hAnsi="Arial" w:eastAsia="Arial Unicode MS"/>
          <w:b w:val="0"/>
          <w:color w:val="000000"/>
          <w:sz w:val="21"/>
        </w:rPr>
        <w:t>演示与验证：apps/desktop/src/demo/DemoWorkspace.tsx、evaluation 中的资产清单及项目现有验证记录。</w:t>
      </w:r>
    </w:p>
    <w:p>
      <w:r>
        <w:rPr>
          <w:rFonts w:ascii="Arial" w:hAnsi="Arial" w:eastAsia="Arial Unicode MS"/>
          <w:b w:val="0"/>
          <w:color w:val="000000"/>
          <w:sz w:val="21"/>
        </w:rPr>
        <w:t>本地许可证据：已安装 JavaScript 包的 package.json 许可字段及精确 Rust crate 的 Cargo.toml 许可字段。</w:t>
      </w:r>
    </w:p>
    <w:p>
      <w:pPr>
        <w:pStyle w:val="Heading2"/>
      </w:pPr>
      <w:r>
        <w:t>官方资源入口</w:t>
      </w:r>
    </w:p>
    <w:p>
      <w:r>
        <w:rPr>
          <w:rFonts w:ascii="Arial" w:hAnsi="Arial" w:eastAsia="Arial Unicode MS"/>
          <w:b w:val="0"/>
          <w:color w:val="000000"/>
          <w:sz w:val="18"/>
        </w:rPr>
        <w:t>React  https://react.dev    HeroUI  https://www.heroui.com</w:t>
      </w:r>
    </w:p>
    <w:p>
      <w:r>
        <w:rPr>
          <w:rFonts w:ascii="Arial" w:hAnsi="Arial" w:eastAsia="Arial Unicode MS"/>
          <w:b w:val="0"/>
          <w:color w:val="000000"/>
          <w:sz w:val="18"/>
        </w:rPr>
        <w:t>Tauri  https://v2.tauri.app    Rust  https://www.rust-lang.org</w:t>
      </w:r>
    </w:p>
    <w:p>
      <w:r>
        <w:rPr>
          <w:rFonts w:ascii="Arial" w:hAnsi="Arial" w:eastAsia="Arial Unicode MS"/>
          <w:b w:val="0"/>
          <w:color w:val="000000"/>
          <w:sz w:val="18"/>
        </w:rPr>
        <w:t>阿里云百炼  https://help.aliyun.com/zh/model-studio/</w:t>
      </w:r>
    </w:p>
    <w:p>
      <w:r>
        <w:rPr>
          <w:rFonts w:ascii="Arial" w:hAnsi="Arial" w:eastAsia="Arial Unicode MS"/>
          <w:b w:val="0"/>
          <w:color w:val="000000"/>
          <w:sz w:val="18"/>
        </w:rPr>
        <w:t>LibreOffice  https://www.libreoffice.org    Poppler  https://poppler.freedesktop.org</w:t>
      </w:r>
    </w:p>
    <w:sectPr w:rsidR="00FC693F" w:rsidRPr="0006063C" w:rsidSect="00034616">
      <w:footerReference w:type="default" r:id="rId9"/>
      <w:pgSz w:w="11906" w:h="16838"/>
      <w:pgMar w:top="964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 Unicode MS"/>
        <w:b w:val="0"/>
        <w:color w:val="000000"/>
        <w:sz w:val="16"/>
      </w:rPr>
      <w:t xml:space="preserve">Focaus 技术与第三方资源说明  | 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before="0" w:line="269" w:lineRule="auto"/>
    </w:pPr>
    <w:rPr>
      <w:rFonts w:ascii="Arial" w:hAnsi="Arial" w:eastAsia="Arial Unicode M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 w:line="269" w:lineRule="auto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269" w:lineRule="auto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 w:before="0"/>
      <w:contextualSpacing/>
    </w:pPr>
    <w:rPr>
      <w:rFonts w:asciiTheme="majorHAnsi" w:eastAsiaTheme="majorEastAsia" w:hAnsiTheme="majorHAnsi" w:cstheme="majorBidi" w:ascii="Arial" w:hAnsi="Arial" w:eastAsia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before="0" w:line="269" w:lineRule="auto"/>
    </w:pPr>
    <w:rPr>
      <w:rFonts w:asciiTheme="majorHAnsi" w:eastAsiaTheme="majorEastAsia" w:hAnsiTheme="majorHAnsi" w:cstheme="majorBidi" w:ascii="Arial" w:hAnsi="Arial" w:eastAsia="Arial Unicode MS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Focaus 技术文档</dc:title>
  <dc:subject/>
  <dc:creator>Focaus</dc:creator>
  <cp:keywords/>
  <dc:description>generated by python-docx</dc:description>
  <cp:lastModifiedBy>Focaus</cp:lastModifiedBy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