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Focaus 项目说明文档</w:t>
      </w:r>
    </w:p>
    <w:p>
      <w:pPr>
        <w:pStyle w:val="Subtitle"/>
      </w:pPr>
      <w:r>
        <w:t>项目简介 成员信息 功能说明 原创声明</w:t>
      </w:r>
    </w:p>
    <w:p>
      <w:pPr>
        <w:spacing w:after="240"/>
      </w:pPr>
      <w:r>
        <w:rPr>
          <w:rFonts w:ascii="Arial" w:hAnsi="Arial" w:eastAsia="Arial Unicode MS"/>
          <w:b w:val="0"/>
          <w:color w:val="000000"/>
          <w:sz w:val="18"/>
        </w:rPr>
        <w:t>团队 Focaus    版本 0.1.0    日期 2026年10月18日</w:t>
      </w:r>
    </w:p>
    <w:p>
      <w:r>
        <w:rPr>
          <w:rFonts w:ascii="Arial" w:hAnsi="Arial" w:eastAsia="Arial Unicode MS"/>
          <w:b w:val="0"/>
          <w:color w:val="000000"/>
          <w:sz w:val="21"/>
        </w:rPr>
        <w:t>Focaus 面向大学课堂中的信息捕获与理解，将录音、转写、课件和学习笔记组织在同一个课程工作区中。项目重点解决学生来不及记录、短暂漏听后难以接回讲解，以及课后难以查找知识出处的问题。当前交付为 macOS 开发验证版及本地交互演示。</w:t>
      </w:r>
    </w:p>
    <w:p>
      <w:pPr>
        <w:pStyle w:val="Heading1"/>
      </w:pPr>
      <w:r>
        <w:t>一 项目基本信息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rPr>
          <w:cantSplit/>
          <w:tblHeader/>
        </w:trPr>
        <w:tc>
          <w:tcPr>
            <w:tcW w:type="dxa" w:w="1814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20"/>
              </w:rPr>
              <w:t>项目项</w:t>
            </w:r>
          </w:p>
        </w:tc>
        <w:tc>
          <w:tcPr>
            <w:tcW w:type="dxa" w:w="7824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项目名称</w:t>
            </w:r>
          </w:p>
        </w:tc>
        <w:tc>
          <w:tcPr>
            <w:tcW w:type="dxa" w:w="782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Focaus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团队名称</w:t>
            </w:r>
          </w:p>
        </w:tc>
        <w:tc>
          <w:tcPr>
            <w:tcW w:type="dxa" w:w="782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Focaus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团队成员</w:t>
            </w:r>
          </w:p>
        </w:tc>
        <w:tc>
          <w:tcPr>
            <w:tcW w:type="dxa" w:w="782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张嗣泽、王眺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成员分工</w:t>
            </w:r>
          </w:p>
        </w:tc>
        <w:tc>
          <w:tcPr>
            <w:tcW w:type="dxa" w:w="782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两位成员均为全端开发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产品形态</w:t>
            </w:r>
          </w:p>
        </w:tc>
        <w:tc>
          <w:tcPr>
            <w:tcW w:type="dxa" w:w="782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面向 macOS 的课堂辅助桌面应用</w:t>
            </w:r>
          </w:p>
        </w:tc>
      </w:tr>
    </w:tbl>
    <w:p>
      <w:pPr>
        <w:spacing w:after="40" w:line="20" w:lineRule="exact"/>
      </w:pPr>
      <w:r>
        <w:rPr>
          <w:rFonts w:ascii="Arial" w:hAnsi="Arial" w:eastAsia="Arial Unicode MS"/>
          <w:b w:val="0"/>
          <w:color w:val="000000"/>
          <w:sz w:val="2"/>
        </w:rPr>
      </w:r>
    </w:p>
    <w:p>
      <w:pPr>
        <w:pStyle w:val="Heading1"/>
      </w:pPr>
      <w:r>
        <w:t>二 项目简介</w:t>
      </w:r>
    </w:p>
    <w:p>
      <w:r>
        <w:rPr>
          <w:rFonts w:ascii="Arial" w:hAnsi="Arial" w:eastAsia="Arial Unicode MS"/>
          <w:b w:val="0"/>
          <w:color w:val="000000"/>
          <w:sz w:val="21"/>
        </w:rPr>
        <w:t>大学课堂中，语音、投影片和学生自己的理解往往分散在不同工具里。单独保存录音难以快速回看，逐字转写也难以展示公式、图表和讲授关系。Focaus 以课堂音频为主要输入，以课件作为上下文和可追溯来源，帮助学生保留原始记录，并在此基础上整理适合继续学习的内容。</w:t>
      </w:r>
    </w:p>
    <w:p>
      <w:r>
        <w:rPr>
          <w:rFonts w:ascii="Arial" w:hAnsi="Arial" w:eastAsia="Arial Unicode MS"/>
          <w:b w:val="0"/>
          <w:color w:val="000000"/>
          <w:sz w:val="21"/>
        </w:rPr>
        <w:t>产品设计将内容分为原始转写、保留原意的二次转写和综合笔记三层。原始信息保留时间与来源；订正和整理进入相应层级；课件中的页面、区域和对象可与课堂片段关联。这样，学生在阅读整理结果时仍能回到原话或原页核查。</w:t>
      </w:r>
    </w:p>
    <w:p>
      <w:pPr>
        <w:pStyle w:val="Heading1"/>
      </w:pPr>
      <w:r>
        <w:t>三 主要特点</w:t>
      </w:r>
    </w:p>
    <w:p>
      <w:r>
        <w:rPr>
          <w:rFonts w:ascii="Arial" w:hAnsi="Arial" w:eastAsia="Arial Unicode MS"/>
          <w:b/>
          <w:color w:val="000000"/>
          <w:sz w:val="21"/>
        </w:rPr>
        <w:t>来源可回查。</w:t>
      </w:r>
      <w:r>
        <w:rPr>
          <w:rFonts w:ascii="Arial" w:hAnsi="Arial" w:eastAsia="Arial Unicode MS"/>
          <w:b w:val="0"/>
          <w:color w:val="000000"/>
          <w:sz w:val="21"/>
        </w:rPr>
        <w:t>课堂片段与课件页、笔记对象建立关联，减少只有结论却找不到依据的情况。</w:t>
      </w:r>
    </w:p>
    <w:p>
      <w:r>
        <w:rPr>
          <w:rFonts w:ascii="Arial" w:hAnsi="Arial" w:eastAsia="Arial Unicode MS"/>
          <w:b/>
          <w:color w:val="000000"/>
          <w:sz w:val="21"/>
        </w:rPr>
        <w:t>理解可继续。</w:t>
      </w:r>
      <w:r>
        <w:rPr>
          <w:rFonts w:ascii="Arial" w:hAnsi="Arial" w:eastAsia="Arial Unicode MS"/>
          <w:b w:val="0"/>
          <w:color w:val="000000"/>
          <w:sz w:val="21"/>
        </w:rPr>
        <w:t>拟通过 focaus 功能补足漏听的关键内容、当前讲授衔接和必要前置知识，帮助学生接回课堂。</w:t>
      </w:r>
    </w:p>
    <w:p>
      <w:r>
        <w:rPr>
          <w:rFonts w:ascii="Arial" w:hAnsi="Arial" w:eastAsia="Arial Unicode MS"/>
          <w:b/>
          <w:color w:val="000000"/>
          <w:sz w:val="21"/>
        </w:rPr>
        <w:t>知识可操作。</w:t>
      </w:r>
      <w:r>
        <w:rPr>
          <w:rFonts w:ascii="Arial" w:hAnsi="Arial" w:eastAsia="Arial Unicode MS"/>
          <w:b w:val="0"/>
          <w:color w:val="000000"/>
          <w:sz w:val="21"/>
        </w:rPr>
        <w:t>对适合用参数、步骤或空间关系说明的知识，采用受控交互对象表达；当前演示以二维卷积示例为主。</w:t>
      </w:r>
    </w:p>
    <w:p>
      <w:pPr>
        <w:pStyle w:val="Heading1"/>
        <w:pageBreakBefore/>
      </w:pPr>
      <w:r>
        <w:t>四 功能说明</w:t>
      </w:r>
    </w:p>
    <w:p>
      <w:r>
        <w:rPr>
          <w:rFonts w:ascii="Arial" w:hAnsi="Arial" w:eastAsia="Arial Unicode MS"/>
          <w:b w:val="0"/>
          <w:color w:val="000000"/>
          <w:sz w:val="21"/>
        </w:rPr>
        <w:t>功能状态分为本地已验证、可交互演示、已实现待集成验收和目标能力。演示使用预设课堂文本，不能据此认定真实语音识别或云模型效果已经通过验证。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4592"/>
        <w:gridCol w:w="3515"/>
      </w:tblGrid>
      <w:tr>
        <w:trPr>
          <w:cantSplit/>
          <w:tblHeader/>
        </w:trPr>
        <w:tc>
          <w:tcPr>
            <w:tcW w:type="dxa" w:w="1531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功能</w:t>
            </w:r>
          </w:p>
        </w:tc>
        <w:tc>
          <w:tcPr>
            <w:tcW w:type="dxa" w:w="4592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使用方式与作用</w:t>
            </w:r>
          </w:p>
        </w:tc>
        <w:tc>
          <w:tcPr>
            <w:tcW w:type="dxa" w:w="3515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课程工作区</w:t>
            </w:r>
          </w:p>
        </w:tc>
        <w:tc>
          <w:tcPr>
            <w:tcW w:type="dxa" w:w="459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按课程和课堂组织内容，提供多内容视图和拆出窗口。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课程创建与窗口恢复已验证；完整多窗流程待验收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本地录音</w:t>
            </w:r>
          </w:p>
        </w:tc>
        <w:tc>
          <w:tcPr>
            <w:tcW w:type="dxa" w:w="459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采集麦克风原声，保存录音片段及持久化进度。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短时真实采集、停止和恢复已验证；长录音待验收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流式转写入口</w:t>
            </w:r>
          </w:p>
        </w:tc>
        <w:tc>
          <w:tcPr>
            <w:tcW w:type="dxa" w:w="459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按时间顺序呈现句段，保留原始时间锚点。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本地预设句段回放可演示；真实云 ASR 未验证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原话与课件关联</w:t>
            </w:r>
          </w:p>
        </w:tc>
        <w:tc>
          <w:tcPr>
            <w:tcW w:type="dxa" w:w="459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选择课堂片段加入课件草稿，从条目跳回对应原话。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本地 Demo 可交互；真实资料全链路待验收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课件解析与重构</w:t>
            </w:r>
          </w:p>
        </w:tc>
        <w:tc>
          <w:tcPr>
            <w:tcW w:type="dxa" w:w="459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读取 PDF 和 PPTX，保存文字、对象、原页及区域来源。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本地引擎已实现并有样本验证；复杂页可能部分可用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二次转写订正</w:t>
            </w:r>
          </w:p>
        </w:tc>
        <w:tc>
          <w:tcPr>
            <w:tcW w:type="dxa" w:w="459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展示原文和建议，允许用户采纳或拒绝；保留原始层。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预设订正交互可演示；云端订正待验收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交互知识对象</w:t>
            </w:r>
          </w:p>
        </w:tc>
        <w:tc>
          <w:tcPr>
            <w:tcW w:type="dxa" w:w="459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以节点、参数和计算关系说明知识点。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二维卷积节点示例可演示；三维及自动生成待验收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全文搜索与来源定位</w:t>
            </w:r>
          </w:p>
        </w:tc>
        <w:tc>
          <w:tcPr>
            <w:tcW w:type="dxa" w:w="459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以 Command+F 搜索课件、笔记和转写，并定位来源。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索引与界面已实现；真实内容命中全流程待验收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focaus 与讲授进度</w:t>
            </w:r>
          </w:p>
        </w:tc>
        <w:tc>
          <w:tcPr>
            <w:tcW w:type="dxa" w:w="459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汇总漏听重点、必要前置和当前问题，提示讲解位置。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协议与本地逻辑已实现；真实效果及性能待验收</w:t>
            </w:r>
          </w:p>
        </w:tc>
      </w:tr>
    </w:tbl>
    <w:p>
      <w:pPr>
        <w:spacing w:after="40" w:line="20" w:lineRule="exact"/>
      </w:pPr>
      <w:r>
        <w:rPr>
          <w:rFonts w:ascii="Arial" w:hAnsi="Arial" w:eastAsia="Arial Unicode MS"/>
          <w:b w:val="0"/>
          <w:color w:val="000000"/>
          <w:sz w:val="2"/>
        </w:rPr>
      </w:r>
    </w:p>
    <w:p>
      <w:pPr>
        <w:pStyle w:val="Heading1"/>
      </w:pPr>
      <w:r>
        <w:t>五 本地演示流程</w:t>
      </w:r>
    </w:p>
    <w:p>
      <w:r>
        <w:rPr>
          <w:rFonts w:ascii="Arial" w:hAnsi="Arial" w:eastAsia="Arial Unicode MS"/>
          <w:b w:val="0"/>
          <w:color w:val="000000"/>
          <w:sz w:val="21"/>
        </w:rPr>
        <w:t>1 进入本地 Demo，开始增量句段回放；同意麦克风权限后，可观察本机采集状态。</w:t>
      </w:r>
    </w:p>
    <w:p>
      <w:r>
        <w:rPr>
          <w:rFonts w:ascii="Arial" w:hAnsi="Arial" w:eastAsia="Arial Unicode MS"/>
          <w:b w:val="0"/>
          <w:color w:val="000000"/>
          <w:sz w:val="21"/>
        </w:rPr>
        <w:t>2 选择已显示的句段，将其加入课堂课件草稿，并点击来源条目回跳到原话。</w:t>
      </w:r>
    </w:p>
    <w:p>
      <w:r>
        <w:rPr>
          <w:rFonts w:ascii="Arial" w:hAnsi="Arial" w:eastAsia="Arial Unicode MS"/>
          <w:b w:val="0"/>
          <w:color w:val="000000"/>
          <w:sz w:val="21"/>
        </w:rPr>
        <w:t>3 查看卷积课件重构示例，点击二维节点和卷积核单元格，观察选中状态及说明。</w:t>
      </w:r>
    </w:p>
    <w:p>
      <w:r>
        <w:rPr>
          <w:rFonts w:ascii="Arial" w:hAnsi="Arial" w:eastAsia="Arial Unicode MS"/>
          <w:b w:val="0"/>
          <w:color w:val="000000"/>
          <w:sz w:val="21"/>
        </w:rPr>
        <w:t>4 对二次转写建议分别执行采纳或拒绝，检查原始转写与订正层的关系。</w:t>
      </w:r>
    </w:p>
    <w:p>
      <w:r>
        <w:rPr>
          <w:rFonts w:ascii="Arial" w:hAnsi="Arial" w:eastAsia="Arial Unicode MS"/>
          <w:b w:val="0"/>
          <w:color w:val="000000"/>
          <w:sz w:val="21"/>
        </w:rPr>
        <w:t>当前 Demo 不上传音频、不调用云模型。focaus 完整结果不超过 15 秒、讲授进度约每 10 秒决策等属于产品目标，尚无真实模型性能验收结论。</w:t>
      </w:r>
    </w:p>
    <w:p>
      <w:pPr>
        <w:pStyle w:val="Heading1"/>
        <w:pageBreakBefore/>
      </w:pPr>
      <w:r>
        <w:t>六 成员信息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6236"/>
      </w:tblGrid>
      <w:tr>
        <w:trPr>
          <w:cantSplit/>
          <w:tblHeader/>
        </w:trPr>
        <w:tc>
          <w:tcPr>
            <w:tcW w:type="dxa" w:w="1701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20"/>
              </w:rPr>
              <w:t>姓名</w:t>
            </w:r>
          </w:p>
        </w:tc>
        <w:tc>
          <w:tcPr>
            <w:tcW w:type="dxa" w:w="1701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20"/>
              </w:rPr>
              <w:t>岗位</w:t>
            </w:r>
          </w:p>
        </w:tc>
        <w:tc>
          <w:tcPr>
            <w:tcW w:type="dxa" w:w="6236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20"/>
              </w:rPr>
              <w:t>工作范围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张嗣泽</w:t>
            </w:r>
          </w:p>
        </w:tc>
        <w:tc>
          <w:tcPr>
            <w:tcW w:type="dxa" w:w="170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全端开发</w:t>
            </w:r>
          </w:p>
        </w:tc>
        <w:tc>
          <w:tcPr>
            <w:tcW w:type="dxa" w:w="6236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参与前端交互、后端能力与整体功能联调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王眺</w:t>
            </w:r>
          </w:p>
        </w:tc>
        <w:tc>
          <w:tcPr>
            <w:tcW w:type="dxa" w:w="170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全端开发</w:t>
            </w:r>
          </w:p>
        </w:tc>
        <w:tc>
          <w:tcPr>
            <w:tcW w:type="dxa" w:w="6236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参与前端交互、后端能力与整体功能联调</w:t>
            </w:r>
          </w:p>
        </w:tc>
      </w:tr>
    </w:tbl>
    <w:p>
      <w:pPr>
        <w:spacing w:after="40" w:line="20" w:lineRule="exact"/>
      </w:pPr>
      <w:r>
        <w:rPr>
          <w:rFonts w:ascii="Arial" w:hAnsi="Arial" w:eastAsia="Arial Unicode MS"/>
          <w:b w:val="0"/>
          <w:color w:val="000000"/>
          <w:sz w:val="2"/>
        </w:rPr>
      </w:r>
    </w:p>
    <w:p>
      <w:r>
        <w:rPr>
          <w:rFonts w:ascii="Arial" w:hAnsi="Arial" w:eastAsia="Arial Unicode MS"/>
          <w:b w:val="0"/>
          <w:color w:val="000000"/>
          <w:sz w:val="21"/>
        </w:rPr>
        <w:t>两位成员均承担全端开发工作，覆盖前端与后端开发。具体模块贡献以实际开发记录为准。</w:t>
      </w:r>
    </w:p>
    <w:p>
      <w:pPr>
        <w:pStyle w:val="Heading1"/>
      </w:pPr>
      <w:r>
        <w:t>七 原创范围说明</w:t>
      </w:r>
    </w:p>
    <w:p>
      <w:r>
        <w:rPr>
          <w:rFonts w:ascii="Arial" w:hAnsi="Arial" w:eastAsia="Arial Unicode MS"/>
          <w:b w:val="0"/>
          <w:color w:val="000000"/>
          <w:sz w:val="21"/>
        </w:rPr>
        <w:t>本项目拟申报的原创范围包括课堂工作流设计、三层内容及来源关联方案、应用内业务逻辑、跨模块接口与版本管理，以及围绕课堂内容组织的交互实现。相关内容的具体权利归属，由团队结合开发记录及实际创作情况确认。</w:t>
      </w:r>
    </w:p>
    <w:p>
      <w:r>
        <w:rPr>
          <w:rFonts w:ascii="Arial" w:hAnsi="Arial" w:eastAsia="Arial Unicode MS"/>
          <w:b w:val="0"/>
          <w:color w:val="000000"/>
          <w:sz w:val="21"/>
        </w:rPr>
        <w:t>React、HeroUI、Tauri、Rust 生态依赖等第三方组件，以及拟接入的云端模型，均按各自权利与条款使用。课堂课件、录音及其派生示例另行列示，不纳入团队独立创作的声明范围。第三方资源及授权状态详见配套技术文档。</w:t>
      </w:r>
    </w:p>
    <w:p>
      <w:pPr>
        <w:pStyle w:val="Heading1"/>
      </w:pPr>
      <w:r>
        <w:t>八 原创声明</w:t>
      </w:r>
    </w:p>
    <w:p>
      <w:r>
        <w:rPr>
          <w:rFonts w:ascii="Arial" w:hAnsi="Arial" w:eastAsia="Arial Unicode MS"/>
          <w:b w:val="0"/>
          <w:color w:val="000000"/>
          <w:sz w:val="21"/>
        </w:rPr>
        <w:t>以下声明由团队成员核实后签署，签署前不构成已经完成的权利保证。</w:t>
      </w:r>
    </w:p>
    <w:p>
      <w:r>
        <w:rPr>
          <w:rFonts w:ascii="Arial" w:hAnsi="Arial" w:eastAsia="Arial Unicode MS"/>
          <w:b w:val="0"/>
          <w:color w:val="000000"/>
          <w:sz w:val="21"/>
        </w:rPr>
        <w:t>我们确认，提交的 Focaus 作品中，除已明确披露的第三方组件、素材、模型服务和 AI 辅助开发内容外，申报为团队原创的部分由本团队完成，或由本团队依法取得相应使用及参赛授权。我们不将第三方成果作为团队独立原创成果申报。</w:t>
      </w:r>
    </w:p>
    <w:p>
      <w:r>
        <w:rPr>
          <w:rFonts w:ascii="Arial" w:hAnsi="Arial" w:eastAsia="Arial Unicode MS"/>
          <w:b w:val="0"/>
          <w:color w:val="000000"/>
          <w:sz w:val="21"/>
        </w:rPr>
        <w:t>我们将如实披露开源组件及其许可要求，保留依法应保留的版权和许可证声明；对课件、录音、图片等外部内容，仅在实际取得的授权范围内使用。对尚未确认权利的素材，在补齐授权或替换后用于对外提交。</w:t>
      </w:r>
    </w:p>
    <w:p>
      <w:r>
        <w:rPr>
          <w:rFonts w:ascii="Arial" w:hAnsi="Arial" w:eastAsia="Arial Unicode MS"/>
          <w:b w:val="0"/>
          <w:color w:val="000000"/>
          <w:sz w:val="21"/>
        </w:rPr>
        <w:t>开发过程中使用 Codex 等 AI 编程辅助工具。AI 输出由提交方承担核实责任；AI 辅助不改变第三方内容的权利归属，也不替代原创性、准确性和授权情况的人工确认。</w:t>
      </w:r>
    </w:p>
    <w:p>
      <w:r>
        <w:rPr>
          <w:rFonts w:ascii="Arial" w:hAnsi="Arial" w:eastAsia="Arial Unicode MS"/>
          <w:b w:val="0"/>
          <w:color w:val="000000"/>
          <w:sz w:val="21"/>
        </w:rPr>
        <w:t>我们确认最终提交信息真实、准确，作品已实现范围和验证状态与提交时版本一致，并按实际参赛规则承担相应责任。</w:t>
      </w:r>
    </w:p>
    <w:p>
      <w:r>
        <w:rPr>
          <w:rFonts w:ascii="Arial" w:hAnsi="Arial" w:eastAsia="Arial Unicode MS"/>
          <w:b w:val="0"/>
          <w:color w:val="000000"/>
          <w:sz w:val="21"/>
        </w:rPr>
        <w:t>团队名称：Focaus</w:t>
      </w:r>
    </w:p>
    <w:p>
      <w:r>
        <w:rPr>
          <w:rFonts w:ascii="Arial" w:hAnsi="Arial" w:eastAsia="Arial Unicode MS"/>
          <w:b w:val="0"/>
          <w:color w:val="000000"/>
          <w:sz w:val="21"/>
        </w:rPr>
        <w:t>成员签名：张嗣泽 __________________    王眺 __________________</w:t>
      </w:r>
    </w:p>
    <w:p>
      <w:r>
        <w:rPr>
          <w:rFonts w:ascii="Arial" w:hAnsi="Arial" w:eastAsia="Arial Unicode MS"/>
          <w:b w:val="0"/>
          <w:color w:val="000000"/>
          <w:sz w:val="21"/>
        </w:rPr>
        <w:t>签署日期：________ 年 ________ 月 ________ 日</w:t>
      </w:r>
    </w:p>
    <w:sectPr w:rsidR="00FC693F" w:rsidRPr="0006063C" w:rsidSect="00034616">
      <w:footerReference w:type="default" r:id="rId9"/>
      <w:pgSz w:w="11906" w:h="16838"/>
      <w:pgMar w:top="964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 Unicode MS"/>
        <w:b w:val="0"/>
        <w:color w:val="000000"/>
        <w:sz w:val="16"/>
      </w:rPr>
      <w:t xml:space="preserve">Focaus 项目说明  |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before="0" w:line="269" w:lineRule="auto"/>
    </w:pPr>
    <w:rPr>
      <w:rFonts w:ascii="Arial" w:hAnsi="Arial" w:eastAsia="Arial Unicode M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 w:line="269" w:lineRule="auto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 w:line="269" w:lineRule="auto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 w:before="0"/>
      <w:contextualSpacing/>
    </w:pPr>
    <w:rPr>
      <w:rFonts w:asciiTheme="majorHAnsi" w:eastAsiaTheme="majorEastAsia" w:hAnsiTheme="majorHAnsi" w:cstheme="majorBidi" w:ascii="Arial" w:hAnsi="Arial" w:eastAsia="Arial Unicode M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before="0" w:line="269" w:lineRule="auto"/>
    </w:pPr>
    <w:rPr>
      <w:rFonts w:asciiTheme="majorHAnsi" w:eastAsiaTheme="majorEastAsia" w:hAnsiTheme="majorHAnsi" w:cstheme="majorBidi" w:ascii="Arial" w:hAnsi="Arial" w:eastAsia="Arial Unicode MS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Focaus 项目说明文档</dc:title>
  <dc:subject/>
  <dc:creator>Focaus</dc:creator>
  <cp:keywords/>
  <dc:description>generated by python-docx</dc:description>
  <cp:lastModifiedBy>Focaus</cp:lastModifiedBy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