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159/2025-Д</w:t>
      </w:r>
    </w:p>
    <w:p/>
    <w:p>
      <w:r>
        <w:t xml:space="preserve">г. Самара</w:t>
      </w:r>
      <w:r>
        <w:t xml:space="preserve">     </w:t>
      </w:r>
      <w:r>
        <w:t xml:space="preserve">«21» января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58/2023-П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рабочих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4 300 000</w:t>
      </w:r>
      <w:r>
        <w:t xml:space="preserve">, а прописью: </w:t>
      </w:r>
      <w:r>
        <w:t xml:space="preserve">четыре триста тысяч рублей</w:t>
      </w:r>
      <w:r>
        <w:t xml:space="preserve">.</w:t>
      </w:r>
    </w:p>
    <w:p>
      <w:r>
        <w:t xml:space="preserve">2.2. Налог: </w:t>
      </w:r>
      <w:r>
        <w:t xml:space="preserve">0,3% от стоимости</w:t>
      </w:r>
      <w:r>
        <w:t xml:space="preserve">.</w:t>
      </w:r>
    </w:p>
    <w:p>
      <w:r>
        <w:t xml:space="preserve">2.3. Срок оплаты — </w:t>
      </w:r>
      <w:r>
        <w:t xml:space="preserve">90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RM-6205-89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100 000 (Сто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Лесная, д. 2, кв. 33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(843) 152-90-72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годовых</w:t>
      </w:r>
      <w:r>
        <w:t xml:space="preserve">. Предельный размер ответственности: </w:t>
      </w:r>
      <w:r>
        <w:t xml:space="preserve">не более 30%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5 рабочих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01.04.2026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не более 24 месяцев с момента заключения кредитного договора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просп. Кутузовский, д. 32, кв. 151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194-40-99</w:t>
            </w:r>
          </w:p>
          <w:p>
            <w:r>
              <w:t xml:space="preserve">E-mail: </w:t>
            </w:r>
            <w:r>
              <w:t xml:space="preserve">ershova@bk.ru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394000, г. Воронеж, пер. Строителей, д. 75, кв. 79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553-58-27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