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197/2024-С</w:t>
      </w:r>
    </w:p>
    <w:p/>
    <w:p>
      <w:r>
        <w:t xml:space="preserve">г. Москва</w:t>
      </w:r>
      <w:r>
        <w:t xml:space="preserve">     </w:t>
      </w:r>
      <w:r>
        <w:t xml:space="preserve">«18» сентября 2025 г.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22/2023-К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2 500 000 (Два миллиона пятьсот тысяч) рублей 50 копеек</w:t>
      </w:r>
      <w:r>
        <w:t xml:space="preserve">.</w:t>
      </w:r>
    </w:p>
    <w:p>
      <w:r>
        <w:t xml:space="preserve">2.2. Налог: </w:t>
      </w:r>
      <w:r>
        <w:t xml:space="preserve">0,5 (пяти десятых)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RM-5886-16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55 956,26 (пятьдесят пять тысяч девятьсот пятьдесят шесть рублей двадцать шесть копеек)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Мира, д. 26, кв. 37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(495) 176-27-80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0,1% за каждый день просрочки</w:t>
      </w:r>
      <w:r>
        <w:t xml:space="preserve">. Предельный размер ответственности: </w:t>
      </w:r>
      <w:r>
        <w:t xml:space="preserve">0,1% от стоимости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60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500 000 (Пятисот тысяч) рублей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5 рабочих дней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170100, г. Тверь, ш. Заречная, д. 22, кв. 22</w:t>
            </w:r>
          </w:p>
          <w:p>
            <w:r>
              <w:t xml:space="preserve">Почтовый адрес: </w:t>
            </w:r>
            <w:r>
              <w:t xml:space="preserve">394000, г. Воронеж, просп. Кирова, д. 35, кв. 157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735-12-40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143400, г. Красногорск, ш. Кутузовский, д. 67, кв. 113</w:t>
            </w:r>
          </w:p>
          <w:p>
            <w:r>
              <w:t xml:space="preserve">Почтовый адрес: </w:t>
            </w:r>
            <w:r>
              <w:t xml:space="preserve">170100, г. Тверь, проезд Победы, д. 67, кв. 105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892-10-93</w:t>
            </w:r>
          </w:p>
          <w:p>
            <w:r>
              <w:t xml:space="preserve">E-mail: </w:t>
            </w:r>
            <w:r>
              <w:t xml:space="preserve">lebedeva@romashka.ru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