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040207039</w:t>
      </w:r>
      <w:r>
        <w:t xml:space="preserve">. Позиция учитывается в каталоге поставщика под номером </w:t>
      </w:r>
      <w:r>
        <w:t xml:space="preserve">045733690</w:t>
      </w:r>
      <w:r>
        <w:t xml:space="preserve">. Изделию присвоен заводской номер </w:t>
      </w:r>
      <w:r>
        <w:t xml:space="preserve">042633225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046443126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048041669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80032448458</w:t>
      </w:r>
      <w:r>
        <w:t xml:space="preserve">. Спецификация зарегистрирована за номером </w:t>
      </w:r>
      <w:r>
        <w:t xml:space="preserve">86059984461</w:t>
      </w:r>
      <w:r>
        <w:t xml:space="preserve">. Счётчик имеет заводской номер </w:t>
      </w:r>
      <w:r>
        <w:t xml:space="preserve">84045949596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86783717497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81358039931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18200951667532175313</w:t>
      </w:r>
      <w:r>
        <w:t xml:space="preserve">. Счётчик имеет заводской номер </w:t>
      </w:r>
      <w:r>
        <w:t xml:space="preserve">39060801935921655642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18209953598309572741</w:t>
      </w:r>
      <w:r>
        <w:t xml:space="preserve">. Счёт-проформа зарегистрирован за номером </w:t>
      </w:r>
      <w:r>
        <w:t xml:space="preserve">77215577185224488749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18210655873196045738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9878216016</w:t>
      </w:r>
      <w:r>
        <w:t xml:space="preserve">. ИНН приводится в приложении; номер спецификации — </w:t>
      </w:r>
      <w:r>
        <w:t xml:space="preserve">6322245144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8755115250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6036284048</w:t>
      </w:r>
      <w:r>
        <w:t xml:space="preserve">. Доля посторонних включений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5977667605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520437546609</w:t>
      </w:r>
      <w:r>
        <w:t xml:space="preserve">. ИНН указан в приложении; номенклатурный код позиции — </w:t>
      </w:r>
      <w:r>
        <w:t xml:space="preserve">066076540946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280568598308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065839701975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Строителей, д. 62, кв. 183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939-79-61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Космонавтов, д. 58, кв. 71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168-77-29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