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drawing>
          <wp:inline distT="0" distB="0" distL="0" distR="0">
            <wp:extent cx="2095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933450"/>
                    </a:xfrm>
                    <a:prstGeom prst="rect">
                      <a:avLst/>
                    </a:prstGeom>
                  </pic:spPr>
                </pic:pic>
              </a:graphicData>
            </a:graphic>
          </wp:inline>
        </w:drawing>
      </w:r>
    </w:p>
    <w:p>
      <w:pPr>
        <w:spacing w:after="200" w:before="400"/>
        <w:jc w:val="center"/>
      </w:pPr>
      <w:r>
        <w:rPr>
          <w:rFonts w:ascii="Inter" w:cs="Inter" w:eastAsia="Inter" w:hAnsi="Inter"/>
          <w:b/>
          <w:bCs/>
          <w:color w:val="001E40"/>
          <w:sz w:val="32"/>
          <w:szCs w:val="32"/>
        </w:rPr>
        <w:t xml:space="preserve">ESPECIFICACIONES TÉCNICAS</w:t>
      </w:r>
    </w:p>
    <w:p>
      <w:pPr>
        <w:spacing w:after="500"/>
        <w:jc w:val="center"/>
      </w:pPr>
      <w:r>
        <w:rPr>
          <w:rFonts w:ascii="Inter" w:cs="Inter" w:eastAsia="Inter" w:hAnsi="Inter"/>
          <w:b/>
          <w:bCs/>
          <w:color w:val="191C1E"/>
          <w:sz w:val="28"/>
          <w:szCs w:val="28"/>
        </w:rPr>
        <w:t xml:space="preserve">ADQUISICION DE HERRAMIENTA PARA CUADRILLAS</w:t>
      </w:r>
    </w:p>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gridCol w:w="100"/>
      </w:tblGrid>
      <w:tr>
        <w:tc>
          <w:tcPr>
            <w:shd w:fill="F2F4F6" w:val="clear"/>
          </w:tcPr>
          <w:p>
            <w:pPr>
              <w:jc w:val="center"/>
            </w:pPr>
            <w:r>
              <w:rPr>
                <w:rFonts w:ascii="Inter" w:cs="Inter" w:eastAsia="Inter" w:hAnsi="Inter"/>
                <w:b/>
                <w:bCs/>
                <w:sz w:val="24"/>
                <w:szCs w:val="24"/>
              </w:rPr>
              <w:t xml:space="preserve">Elaborado</w:t>
            </w:r>
          </w:p>
        </w:tc>
        <w:tc>
          <w:tcPr>
            <w:shd w:fill="F2F4F6" w:val="clear"/>
          </w:tcPr>
          <w:p>
            <w:pPr>
              <w:jc w:val="center"/>
            </w:pPr>
            <w:r>
              <w:rPr>
                <w:rFonts w:ascii="Inter" w:cs="Inter" w:eastAsia="Inter" w:hAnsi="Inter"/>
                <w:b/>
                <w:bCs/>
                <w:sz w:val="24"/>
                <w:szCs w:val="24"/>
              </w:rPr>
              <w:t xml:space="preserve">Revisado</w:t>
            </w:r>
          </w:p>
        </w:tc>
        <w:tc>
          <w:tcPr>
            <w:shd w:fill="F2F4F6" w:val="clear"/>
          </w:tcPr>
          <w:p>
            <w:pPr>
              <w:jc w:val="center"/>
            </w:pPr>
            <w:r>
              <w:rPr>
                <w:rFonts w:ascii="Inter" w:cs="Inter" w:eastAsia="Inter" w:hAnsi="Inter"/>
                <w:b/>
                <w:bCs/>
                <w:sz w:val="24"/>
                <w:szCs w:val="24"/>
              </w:rPr>
              <w:t xml:space="preserve">Aprobado</w:t>
            </w:r>
          </w:p>
        </w:tc>
      </w:tr>
      <w:tr>
        <w:tc>
          <w:tcPr>
            <w:tcMar>
              <w:top w:type="dxa" w:w="120"/>
              <w:left w:type="dxa" w:w="100"/>
              <w:bottom w:type="dxa" w:w="120"/>
              <w:right w:type="dxa" w:w="100"/>
            </w:tcMar>
          </w:tcPr>
          <w:p>
            <w:pPr>
              <w:jc w:val="center"/>
            </w:pPr>
            <w:r>
              <w:rPr>
                <w:rFonts w:ascii="Inter" w:cs="Inter" w:eastAsia="Inter" w:hAnsi="Inter"/>
                <w:sz w:val="24"/>
                <w:szCs w:val="24"/>
              </w:rPr>
              <w:t xml:space="preserve">Heydi Canaviri Padilla</w:t>
            </w:r>
          </w:p>
        </w:tc>
        <w:tc>
          <w:tcPr>
            <w:tcMar>
              <w:top w:type="dxa" w:w="120"/>
              <w:left w:type="dxa" w:w="100"/>
              <w:bottom w:type="dxa" w:w="120"/>
              <w:right w:type="dxa" w:w="100"/>
            </w:tcMar>
          </w:tcPr>
          <w:p>
            <w:pPr>
              <w:jc w:val="center"/>
            </w:pPr>
            <w:r>
              <w:rPr>
                <w:rFonts w:ascii="Inter" w:cs="Inter" w:eastAsia="Inter" w:hAnsi="Inter"/>
                <w:sz w:val="24"/>
                <w:szCs w:val="24"/>
              </w:rPr>
              <w:t xml:space="preserve">Heydi Canaviri Padilla</w:t>
            </w:r>
          </w:p>
        </w:tc>
        <w:tc>
          <w:tcPr>
            <w:tcMar>
              <w:top w:type="dxa" w:w="120"/>
              <w:left w:type="dxa" w:w="100"/>
              <w:bottom w:type="dxa" w:w="120"/>
              <w:right w:type="dxa" w:w="100"/>
            </w:tcMar>
          </w:tcPr>
          <w:p>
            <w:pPr>
              <w:jc w:val="center"/>
            </w:pPr>
            <w:r>
              <w:rPr>
                <w:rFonts w:ascii="Inter" w:cs="Inter" w:eastAsia="Inter" w:hAnsi="Inter"/>
                <w:sz w:val="24"/>
                <w:szCs w:val="24"/>
              </w:rPr>
              <w:t xml:space="preserve">Lic. Raul Alberto Torrico Gomez</w:t>
            </w:r>
          </w:p>
        </w:tc>
      </w:tr>
    </w:tbl>
    <w:p>
      <w:pPr>
        <w:spacing w:after="120" w:before="400"/>
      </w:pPr>
      <w:r>
        <w:rPr>
          <w:rFonts w:ascii="Inter" w:cs="Inter" w:eastAsia="Inter" w:hAnsi="Inter"/>
          <w:b/>
          <w:bCs/>
          <w:color w:val="2563EB"/>
          <w:sz w:val="28"/>
          <w:szCs w:val="28"/>
        </w:rPr>
        <w:t xml:space="preserve">RESUMEN</w:t>
      </w:r>
    </w:p>
    <w:p>
      <w:pPr>
        <w:spacing w:after="500"/>
      </w:pPr>
      <w:r>
        <w:rPr>
          <w:rFonts w:ascii="Inter" w:cs="Inter" w:eastAsia="Inter" w:hAnsi="Inter"/>
          <w:color w:val="191C1E"/>
          <w:sz w:val="24"/>
          <w:szCs w:val="24"/>
        </w:rPr>
        <w:t xml:space="preserve">❖  4 PZA. TIJERA CORTA CABLE DE ACERO</w:t>
      </w:r>
    </w:p>
    <w:p>
      <w:pPr>
        <w:spacing w:after="60" w:before="600"/>
        <w:jc w:val="center"/>
      </w:pPr>
      <w:r>
        <w:rPr>
          <w:rFonts w:ascii="Inter" w:cs="Inter" w:eastAsia="Inter" w:hAnsi="Inter"/>
          <w:b/>
          <w:bCs/>
          <w:sz w:val="28"/>
          <w:szCs w:val="28"/>
        </w:rPr>
        <w:t xml:space="preserve">Mayo - 2026</w:t>
      </w:r>
    </w:p>
    <w:p>
      <w:pPr>
        <w:jc w:val="center"/>
      </w:pPr>
      <w:r>
        <w:rPr>
          <w:rFonts w:ascii="Inter" w:cs="Inter" w:eastAsia="Inter" w:hAnsi="Inter"/>
          <w:color w:val="43474F"/>
          <w:sz w:val="24"/>
          <w:szCs w:val="24"/>
        </w:rPr>
        <w:t xml:space="preserve">Oruro-Bolivia</w:t>
      </w:r>
    </w:p>
    <w:p>
      <w:pPr>
        <w:spacing w:before="200"/>
        <w:jc w:val="right"/>
      </w:pPr>
      <w:r>
        <w:rPr>
          <w:rFonts w:ascii="Inter" w:cs="Inter" w:eastAsia="Inter" w:hAnsi="Inter"/>
          <w:color w:val="001E40"/>
          <w:sz w:val="20"/>
          <w:szCs w:val="20"/>
        </w:rPr>
        <w:t xml:space="preserve">Ing. Heydi Canaviri Padilla
SUPERVISORA SEGURIDAD INDUSTRIAL
DISTRIBUIDORA DE ELECTRICIDAD ENDE DEORURO S.A.</w:t>
      </w:r>
    </w:p>
    <w:p>
      <w:pPr>
        <w:sectPr>
          <w:pgSz w:w="11906" w:h="16838" w:orient="portrait"/>
          <w:pgMar w:top="1440" w:right="1440" w:bottom="1440" w:left="1440" w:header="708" w:footer="708" w:gutter="0"/>
          <w:pgNumType/>
          <w:docGrid w:linePitch="360"/>
        </w:sectPr>
      </w:pPr>
    </w:p>
    <w:p>
      <w:pPr>
        <w:spacing w:after="300" w:before="200"/>
        <w:jc w:val="center"/>
      </w:pPr>
      <w:r>
        <w:rPr>
          <w:rFonts w:ascii="Inter" w:cs="Inter" w:eastAsia="Inter" w:hAnsi="Inter"/>
          <w:b/>
          <w:bCs/>
          <w:sz w:val="28"/>
          <w:szCs w:val="28"/>
        </w:rPr>
        <w:t xml:space="preserve">Contenido</w:t>
      </w:r>
    </w:p>
    <w:p>
      <w:pPr>
        <w:spacing w:after="140"/>
      </w:pPr>
      <w:r>
        <w:rPr>
          <w:rFonts w:ascii="Inter" w:cs="Inter" w:eastAsia="Inter" w:hAnsi="Inter"/>
          <w:sz w:val="24"/>
          <w:szCs w:val="24"/>
        </w:rPr>
        <w:t xml:space="preserve">1.   ANTECEDENTES ....................................................................................................................... 3</w:t>
      </w:r>
    </w:p>
    <w:p>
      <w:pPr>
        <w:spacing w:after="140"/>
      </w:pPr>
      <w:r>
        <w:rPr>
          <w:rFonts w:ascii="Inter" w:cs="Inter" w:eastAsia="Inter" w:hAnsi="Inter"/>
          <w:sz w:val="24"/>
          <w:szCs w:val="24"/>
        </w:rPr>
        <w:t xml:space="preserve">2.   JUSTIFICACIÓN / NECESIDAD ................................................................................................. 3</w:t>
      </w:r>
    </w:p>
    <w:p>
      <w:pPr>
        <w:spacing w:after="140"/>
      </w:pPr>
      <w:r>
        <w:rPr>
          <w:rFonts w:ascii="Inter" w:cs="Inter" w:eastAsia="Inter" w:hAnsi="Inter"/>
          <w:sz w:val="24"/>
          <w:szCs w:val="24"/>
        </w:rPr>
        <w:t xml:space="preserve">3.   ESPECIFICACIÓN TÉCNICA ..................................................................................................... 3</w:t>
      </w:r>
    </w:p>
    <w:p>
      <w:pPr>
        <w:spacing w:after="140"/>
      </w:pPr>
      <w:r>
        <w:rPr>
          <w:rFonts w:ascii="Inter" w:cs="Inter" w:eastAsia="Inter" w:hAnsi="Inter"/>
          <w:sz w:val="24"/>
          <w:szCs w:val="24"/>
        </w:rPr>
        <w:t xml:space="preserve">4.   CALIDAD ................................................................................................................................. 7</w:t>
      </w:r>
    </w:p>
    <w:p>
      <w:pPr>
        <w:spacing w:after="140"/>
      </w:pPr>
      <w:r>
        <w:rPr>
          <w:rFonts w:ascii="Inter" w:cs="Inter" w:eastAsia="Inter" w:hAnsi="Inter"/>
          <w:sz w:val="24"/>
          <w:szCs w:val="24"/>
        </w:rPr>
        <w:t xml:space="preserve">5.   MÉTODO DE SELECCIÓN .......................................................................................................... 7</w:t>
      </w:r>
    </w:p>
    <w:p>
      <w:pPr>
        <w:spacing w:after="140"/>
      </w:pPr>
      <w:r>
        <w:rPr>
          <w:rFonts w:ascii="Inter" w:cs="Inter" w:eastAsia="Inter" w:hAnsi="Inter"/>
          <w:sz w:val="24"/>
          <w:szCs w:val="24"/>
        </w:rPr>
        <w:t xml:space="preserve">6.   VIGENCIA DE LA PROPUESTA .................................................................................................. 7</w:t>
      </w:r>
    </w:p>
    <w:p>
      <w:pPr>
        <w:spacing w:after="300"/>
      </w:pPr>
      <w:r>
        <w:rPr>
          <w:rFonts w:ascii="Inter" w:cs="Inter" w:eastAsia="Inter" w:hAnsi="Inter"/>
          <w:sz w:val="24"/>
          <w:szCs w:val="24"/>
        </w:rPr>
        <w:t xml:space="preserve">7.   APLICACIÓN DE MULTAS .......................................................................................................... 7</w:t>
      </w:r>
    </w:p>
    <w:p>
      <w:r>
        <w:br w:type="page"/>
      </w:r>
    </w:p>
    <w:p>
      <w:pPr>
        <w:spacing w:after="100" w:before="100"/>
      </w:pPr>
      <w:r>
        <w:rPr>
          <w:rFonts w:ascii="Inter" w:cs="Inter" w:eastAsia="Inter" w:hAnsi="Inter"/>
          <w:b/>
          <w:bCs/>
          <w:sz w:val="28"/>
          <w:szCs w:val="28"/>
        </w:rPr>
        <w:t xml:space="preserve">1.   ANTECEDENTES</w:t>
      </w:r>
    </w:p>
    <w:p>
      <w:pPr>
        <w:spacing w:after="250"/>
        <w:jc w:val="both"/>
      </w:pPr>
      <w:r>
        <w:rPr>
          <w:rFonts w:ascii="Inter" w:cs="Inter" w:eastAsia="Inter" w:hAnsi="Inter"/>
          <w:sz w:val="24"/>
          <w:szCs w:val="24"/>
        </w:rPr>
        <w:t xml:space="preserve">De acuerdo a la legislación vigente, normas y políticas internas se inicia el proceso de adquisición de herramientas y equipos para mantenimiento redes MT, enmarcados en el manual de procedimientos y Reglamento de Adquisición de Bienes, Construcción de Obras y Contratación de Servicios.</w:t>
      </w:r>
    </w:p>
    <w:p>
      <w:pPr>
        <w:spacing w:after="100" w:before="100"/>
      </w:pPr>
      <w:r>
        <w:rPr>
          <w:rFonts w:ascii="Inter" w:cs="Inter" w:eastAsia="Inter" w:hAnsi="Inter"/>
          <w:b/>
          <w:bCs/>
          <w:sz w:val="28"/>
          <w:szCs w:val="28"/>
        </w:rPr>
        <w:t xml:space="preserve">2.   JUSTIFICACIÓN / NECESIDAD</w:t>
      </w:r>
    </w:p>
    <w:p>
      <w:pPr>
        <w:spacing w:after="300"/>
        <w:jc w:val="both"/>
      </w:pPr>
      <w:r>
        <w:rPr>
          <w:rFonts w:ascii="Inter" w:cs="Inter" w:eastAsia="Inter" w:hAnsi="Inter"/>
          <w:sz w:val="24"/>
          <w:szCs w:val="24"/>
        </w:rPr>
        <w:t xml:space="preserve">Con la adquisición de herramientas de zapa para mantenimiento redes MT, tiene el objetivo de prevenir accidentes que pueden ser producto del uso de herramientas de zapa en mal estado también o a la ausencia de estas herramientas.</w:t>
      </w:r>
    </w:p>
    <w:p>
      <w:pPr>
        <w:spacing w:after="180" w:before="100"/>
      </w:pPr>
      <w:r>
        <w:rPr>
          <w:rFonts w:ascii="Inter" w:cs="Inter" w:eastAsia="Inter" w:hAnsi="Inter"/>
          <w:b/>
          <w:bCs/>
          <w:sz w:val="28"/>
          <w:szCs w:val="28"/>
        </w:rPr>
        <w:t xml:space="preserve">3.   ESPECIFICACIÓN TÉCNICA</w:t>
      </w:r>
    </w:p>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tblGrid>
      <w:tr>
        <w:tc>
          <w:tcPr>
            <w:gridSpan w:val="2"/>
            <w:shd w:fill="ECEEF0" w:val="clear"/>
            <w:tcMar>
              <w:top w:type="dxa" w:w="100"/>
              <w:left w:type="dxa" w:w="100"/>
              <w:bottom w:type="dxa" w:w="100"/>
              <w:right w:type="dxa" w:w="100"/>
            </w:tcMar>
          </w:tcPr>
          <w:p>
            <w:pPr>
              <w:jc w:val="center"/>
            </w:pPr>
            <w:r>
              <w:rPr>
                <w:rFonts w:ascii="Inter" w:cs="Inter" w:eastAsia="Inter" w:hAnsi="Inter"/>
                <w:b/>
                <w:bCs/>
                <w:sz w:val="24"/>
                <w:szCs w:val="24"/>
              </w:rPr>
              <w:t xml:space="preserve">ESPECIFICACIONES TÉCNICAS - ÍTEM #1: TIJERA CORTA CABLE DE ACERO</w:t>
            </w:r>
          </w:p>
        </w:tc>
      </w:tr>
      <w:tr>
        <w:tc>
          <w:tcPr>
            <w:tcW w:type="pct" w:w="45%"/>
            <w:tcMar>
              <w:top w:type="dxa" w:w="100"/>
              <w:left w:type="dxa" w:w="100"/>
              <w:bottom w:type="dxa" w:w="100"/>
              <w:right w:type="dxa" w:w="100"/>
            </w:tcMar>
          </w:tcPr>
          <w:p>
            <w:r>
              <w:rPr>
                <w:rFonts w:ascii="Inter" w:cs="Inter" w:eastAsia="Inter" w:hAnsi="Inter"/>
                <w:b/>
                <w:bCs/>
                <w:sz w:val="24"/>
                <w:szCs w:val="24"/>
              </w:rPr>
              <w:t xml:space="preserve">Descripción:</w:t>
            </w:r>
          </w:p>
          <w:p>
            <w:pPr>
              <w:spacing w:after="100"/>
            </w:pPr>
            <w:r>
              <w:rPr>
                <w:rFonts w:ascii="Inter" w:cs="Inter" w:eastAsia="Inter" w:hAnsi="Inter"/>
                <w:sz w:val="24"/>
                <w:szCs w:val="24"/>
              </w:rPr>
              <w:t xml:space="preserve">Tijera Corta Cable de Acero (4 PZA)</w:t>
            </w:r>
          </w:p>
          <w:p>
            <w:r>
              <w:rPr>
                <w:rFonts w:ascii="Inter" w:cs="Inter" w:eastAsia="Inter" w:hAnsi="Inter"/>
                <w:b/>
                <w:bCs/>
                <w:sz w:val="24"/>
                <w:szCs w:val="24"/>
              </w:rPr>
              <w:t xml:space="preserve">Uso:</w:t>
            </w:r>
          </w:p>
          <w:p>
            <w:pPr>
              <w:spacing w:after="100"/>
            </w:pPr>
            <w:r>
              <w:rPr>
                <w:rFonts w:ascii="Inter" w:cs="Inter" w:eastAsia="Inter" w:hAnsi="Inter"/>
                <w:sz w:val="24"/>
                <w:szCs w:val="24"/>
              </w:rPr>
              <w:t xml:space="preserve">Personal Operativo</w:t>
            </w:r>
          </w:p>
          <w:p>
            <w:r>
              <w:rPr>
                <w:rFonts w:ascii="Inter" w:cs="Inter" w:eastAsia="Inter" w:hAnsi="Inter"/>
                <w:b/>
                <w:bCs/>
                <w:sz w:val="24"/>
                <w:szCs w:val="24"/>
              </w:rPr>
              <w:t xml:space="preserve">Norma / Certificación:</w:t>
            </w:r>
          </w:p>
          <w:p>
            <w:pPr>
              <w:spacing w:after="140"/>
            </w:pPr>
            <w:r>
              <w:rPr>
                <w:rFonts w:ascii="Inter" w:cs="Inter" w:eastAsia="Inter" w:hAnsi="Inter"/>
                <w:sz w:val="24"/>
                <w:szCs w:val="24"/>
              </w:rPr>
              <w:t xml:space="preserve">N/A</w:t>
            </w:r>
          </w:p>
          <w:p>
            <w:r>
              <w:rPr>
                <w:rFonts w:ascii="Inter" w:cs="Inter" w:eastAsia="Inter" w:hAnsi="Inter"/>
                <w:b/>
                <w:bCs/>
                <w:sz w:val="24"/>
                <w:szCs w:val="24"/>
              </w:rPr>
              <w:t xml:space="preserve">3. Imagen / Fotografía:</w:t>
            </w:r>
          </w:p>
          <w:p>
            <w:pPr>
              <w:spacing w:after="100" w:before="100"/>
              <w:jc w:val="center"/>
            </w:pPr>
            <w:r>
              <w:rPr>
                <w:rFonts w:ascii="JetBrains Mono" w:cs="JetBrains Mono" w:eastAsia="JetBrains Mono" w:hAnsi="JetBrains Mono"/>
                <w:color w:val="001E40"/>
                <w:sz w:val="20"/>
                <w:szCs w:val="20"/>
              </w:rPr>
              <w:t xml:space="preserve">[ FOTOGRAFÍA DE TIJERA CORTA CABLE DE ACERO ]</w:t>
            </w:r>
          </w:p>
          <w:p>
            <w:r>
              <w:rPr>
                <w:rFonts w:ascii="Inter" w:cs="Inter" w:eastAsia="Inter" w:hAnsi="Inter"/>
                <w:sz w:val="24"/>
                <w:szCs w:val="24"/>
              </w:rPr>
              <w:t xml:space="preserve">• Largo total: 36 pulgadas (90 cm)</w:t>
            </w:r>
          </w:p>
        </w:tc>
        <w:tc>
          <w:tcPr>
            <w:tcW w:type="pct" w:w="55%"/>
            <w:tcMar>
              <w:top w:type="dxa" w:w="100"/>
              <w:left w:type="dxa" w:w="100"/>
              <w:bottom w:type="dxa" w:w="100"/>
              <w:right w:type="dxa" w:w="100"/>
            </w:tcMar>
          </w:tcPr>
          <w:p>
            <w:pPr>
              <w:shd w:fill="F2F4F6" w:val="clear"/>
            </w:pPr>
            <w:r>
              <w:rPr>
                <w:rFonts w:ascii="Inter" w:cs="Inter" w:eastAsia="Inter" w:hAnsi="Inter"/>
                <w:b/>
                <w:bCs/>
                <w:sz w:val="24"/>
                <w:szCs w:val="24"/>
              </w:rPr>
              <w:t xml:space="preserve">CARACTERÍSTICAS TÉCNICAS</w:t>
            </w:r>
          </w:p>
          <w:p>
            <w:pPr>
              <w:spacing w:before="80"/>
            </w:pPr>
            <w:r>
              <w:rPr>
                <w:rFonts w:ascii="Inter" w:cs="Inter" w:eastAsia="Inter" w:hAnsi="Inter"/>
                <w:b/>
                <w:bCs/>
                <w:sz w:val="24"/>
                <w:szCs w:val="24"/>
              </w:rPr>
              <w:t xml:space="preserve">1. Material:</w:t>
            </w:r>
            <w:r>
              <w:rPr>
                <w:rFonts w:ascii="Inter" w:cs="Inter" w:eastAsia="Inter" w:hAnsi="Inter"/>
                <w:sz w:val="24"/>
                <w:szCs w:val="24"/>
              </w:rPr>
              <w:t xml:space="preserve"> Acero reforzado</w:t>
            </w:r>
          </w:p>
          <w:p>
            <w:r>
              <w:rPr>
                <w:rFonts w:ascii="Inter" w:cs="Inter" w:eastAsia="Inter" w:hAnsi="Inter"/>
                <w:b/>
                <w:bCs/>
                <w:sz w:val="24"/>
                <w:szCs w:val="24"/>
              </w:rPr>
              <w:t xml:space="preserve">2. Color:</w:t>
            </w:r>
            <w:r>
              <w:rPr>
                <w:rFonts w:ascii="Inter" w:cs="Inter" w:eastAsia="Inter" w:hAnsi="Inter"/>
                <w:sz w:val="24"/>
                <w:szCs w:val="24"/>
              </w:rPr>
              <w:t xml:space="preserve"> N/A</w:t>
            </w:r>
          </w:p>
          <w:p>
            <w:pPr>
              <w:spacing w:before="60"/>
            </w:pPr>
            <w:r>
              <w:rPr>
                <w:rFonts w:ascii="Inter" w:cs="Inter" w:eastAsia="Inter" w:hAnsi="Inter"/>
                <w:b/>
                <w:bCs/>
                <w:sz w:val="24"/>
                <w:szCs w:val="24"/>
              </w:rPr>
              <w:t xml:space="preserve">4. Para la aceptación del lote:</w:t>
            </w:r>
          </w:p>
          <w:p>
            <w:pPr>
              <w:spacing w:after="60"/>
            </w:pPr>
            <w:r>
              <w:rPr>
                <w:rFonts w:ascii="Inter" w:cs="Inter" w:eastAsia="Inter" w:hAnsi="Inter"/>
                <w:sz w:val="24"/>
                <w:szCs w:val="24"/>
              </w:rPr>
              <w:t xml:space="preserve">El personal de ENDE DEORURO, realizara una evaluación preliminar el día de la entrega, en caso de existir observaciones.</w:t>
            </w:r>
          </w:p>
          <w:p>
            <w:r>
              <w:rPr>
                <w:rFonts w:ascii="Inter" w:cs="Inter" w:eastAsia="Inter" w:hAnsi="Inter"/>
                <w:b/>
                <w:bCs/>
                <w:sz w:val="24"/>
                <w:szCs w:val="24"/>
              </w:rPr>
              <w:t xml:space="preserve">5. Categoría:</w:t>
            </w:r>
            <w:r>
              <w:rPr>
                <w:rFonts w:ascii="Inter" w:cs="Inter" w:eastAsia="Inter" w:hAnsi="Inter"/>
                <w:sz w:val="24"/>
                <w:szCs w:val="24"/>
              </w:rPr>
              <w:t xml:space="preserve"> Herramientas manuales</w:t>
            </w:r>
          </w:p>
          <w:p>
            <w:pPr>
              <w:spacing w:before="60"/>
            </w:pPr>
            <w:r>
              <w:rPr>
                <w:rFonts w:ascii="Inter" w:cs="Inter" w:eastAsia="Inter" w:hAnsi="Inter"/>
                <w:b/>
                <w:bCs/>
                <w:sz w:val="24"/>
                <w:szCs w:val="24"/>
              </w:rPr>
              <w:t xml:space="preserve">6. Características:</w:t>
            </w:r>
          </w:p>
          <w:p>
            <w:pPr>
              <w:spacing w:after="40"/>
            </w:pPr>
            <w:r>
              <w:rPr>
                <w:rFonts w:ascii="Inter" w:cs="Inter" w:eastAsia="Inter" w:hAnsi="Inter"/>
                <w:sz w:val="24"/>
                <w:szCs w:val="24"/>
              </w:rPr>
              <w:t xml:space="preserve">• Cuchillas de acero al silicio manganeso 2X</w:t>
            </w:r>
          </w:p>
          <w:p/>
          <w:p/>
        </w:tc>
      </w:tr>
    </w:tbl>
    <w:p>
      <w:pPr>
        <w:spacing w:after="200"/>
      </w:pPr>
    </w:p>
    <w:p>
      <w:r>
        <w:br w:type="page"/>
      </w:r>
    </w:p>
    <w:p>
      <w:pPr>
        <w:spacing w:after="80" w:before="100"/>
      </w:pPr>
      <w:r>
        <w:rPr>
          <w:rFonts w:ascii="Inter" w:cs="Inter" w:eastAsia="Inter" w:hAnsi="Inter"/>
          <w:b/>
          <w:bCs/>
          <w:sz w:val="28"/>
          <w:szCs w:val="28"/>
        </w:rPr>
        <w:t xml:space="preserve">4.   CALIDAD</w:t>
      </w:r>
    </w:p>
    <w:p>
      <w:pPr>
        <w:spacing w:after="160"/>
        <w:jc w:val="both"/>
      </w:pPr>
      <w:r>
        <w:rPr>
          <w:rFonts w:ascii="Inter" w:cs="Inter" w:eastAsia="Inter" w:hAnsi="Inter"/>
          <w:sz w:val="24"/>
          <w:szCs w:val="24"/>
        </w:rPr>
        <w:t xml:space="preserve">El ofertante deberá presentar un certificado en el cual garantice que las herramientas cumplan con todas las características técnicas y los estándares de calidad de acuerdo a normativa vigente.</w:t>
      </w:r>
    </w:p>
    <w:p>
      <w:pPr>
        <w:spacing w:after="80" w:before="60"/>
      </w:pPr>
      <w:r>
        <w:rPr>
          <w:rFonts w:ascii="Inter" w:cs="Inter" w:eastAsia="Inter" w:hAnsi="Inter"/>
          <w:b/>
          <w:bCs/>
          <w:sz w:val="28"/>
          <w:szCs w:val="28"/>
        </w:rPr>
        <w:t xml:space="preserve">5.   CATEGORÍA</w:t>
      </w:r>
    </w:p>
    <w:p>
      <w:pPr>
        <w:spacing w:after="160"/>
      </w:pPr>
      <w:r>
        <w:rPr>
          <w:rFonts w:ascii="Inter" w:cs="Inter" w:eastAsia="Inter" w:hAnsi="Inter"/>
          <w:sz w:val="24"/>
          <w:szCs w:val="24"/>
        </w:rPr>
        <w:t xml:space="preserve">Bienes</w:t>
      </w:r>
    </w:p>
    <w:p>
      <w:pPr>
        <w:spacing w:after="80" w:before="60"/>
      </w:pPr>
      <w:r>
        <w:rPr>
          <w:rFonts w:ascii="Inter" w:cs="Inter" w:eastAsia="Inter" w:hAnsi="Inter"/>
          <w:b/>
          <w:bCs/>
          <w:sz w:val="28"/>
          <w:szCs w:val="28"/>
        </w:rPr>
        <w:t xml:space="preserve">6.   LUGAR DE ENTREGA</w:t>
      </w:r>
    </w:p>
    <w:p>
      <w:pPr>
        <w:spacing w:after="160"/>
      </w:pPr>
      <w:r>
        <w:rPr>
          <w:rFonts w:ascii="Inter" w:cs="Inter" w:eastAsia="Inter" w:hAnsi="Inter"/>
          <w:sz w:val="24"/>
          <w:szCs w:val="24"/>
        </w:rPr>
        <w:t xml:space="preserve">Almacenes ENDE DEORURO S.A.</w:t>
      </w:r>
    </w:p>
    <w:p>
      <w:pPr>
        <w:spacing w:after="80" w:before="60"/>
      </w:pPr>
      <w:r>
        <w:rPr>
          <w:rFonts w:ascii="Inter" w:cs="Inter" w:eastAsia="Inter" w:hAnsi="Inter"/>
          <w:b/>
          <w:bCs/>
          <w:sz w:val="28"/>
          <w:szCs w:val="28"/>
        </w:rPr>
        <w:t xml:space="preserve">7.   TIEMPO DE ENTREGA</w:t>
      </w:r>
    </w:p>
    <w:p>
      <w:pPr>
        <w:spacing w:after="160"/>
      </w:pPr>
      <w:r>
        <w:rPr>
          <w:rFonts w:ascii="Inter" w:cs="Inter" w:eastAsia="Inter" w:hAnsi="Inter"/>
          <w:sz w:val="24"/>
          <w:szCs w:val="24"/>
        </w:rPr>
        <w:t xml:space="preserve">Máximo 120 días calendario pudiendo ofertar plazos menores.</w:t>
      </w:r>
    </w:p>
    <w:p>
      <w:pPr>
        <w:spacing w:after="80" w:before="60"/>
      </w:pPr>
      <w:r>
        <w:rPr>
          <w:rFonts w:ascii="Inter" w:cs="Inter" w:eastAsia="Inter" w:hAnsi="Inter"/>
          <w:b/>
          <w:bCs/>
          <w:sz w:val="28"/>
          <w:szCs w:val="28"/>
        </w:rPr>
        <w:t xml:space="preserve">8.   FORMA DE ADJUDICACIÓN</w:t>
      </w:r>
    </w:p>
    <w:p>
      <w:pPr>
        <w:spacing w:after="160"/>
      </w:pPr>
      <w:r>
        <w:rPr>
          <w:rFonts w:ascii="Inter" w:cs="Inter" w:eastAsia="Inter" w:hAnsi="Inter"/>
          <w:sz w:val="24"/>
          <w:szCs w:val="24"/>
        </w:rPr>
        <w:t xml:space="preserve">Por ítem requerido (Menor Precio - Art. 31 SBC).</w:t>
      </w:r>
    </w:p>
    <w:p>
      <w:pPr>
        <w:spacing w:after="80" w:before="60"/>
      </w:pPr>
      <w:r>
        <w:rPr>
          <w:rFonts w:ascii="Inter" w:cs="Inter" w:eastAsia="Inter" w:hAnsi="Inter"/>
          <w:b/>
          <w:bCs/>
          <w:sz w:val="28"/>
          <w:szCs w:val="28"/>
        </w:rPr>
        <w:t xml:space="preserve">9.   PARA LA ACEPTACIÓN DEL LOTE</w:t>
      </w:r>
    </w:p>
    <w:p>
      <w:pPr>
        <w:spacing w:after="160"/>
        <w:jc w:val="both"/>
      </w:pPr>
      <w:r>
        <w:rPr>
          <w:rFonts w:ascii="Inter" w:cs="Inter" w:eastAsia="Inter" w:hAnsi="Inter"/>
          <w:sz w:val="24"/>
          <w:szCs w:val="24"/>
        </w:rPr>
        <w:t xml:space="preserve">El personal de ENDE DEORURO, realizará una evaluación preliminar el día de la entrega, en caso de existir observaciones, se hará conocer inmediatamente.</w:t>
      </w:r>
    </w:p>
    <w:p>
      <w:pPr>
        <w:spacing w:after="80" w:before="60"/>
      </w:pPr>
      <w:r>
        <w:rPr>
          <w:rFonts w:ascii="Inter" w:cs="Inter" w:eastAsia="Inter" w:hAnsi="Inter"/>
          <w:b/>
          <w:bCs/>
          <w:sz w:val="28"/>
          <w:szCs w:val="28"/>
        </w:rPr>
        <w:t xml:space="preserve">10.   FORMA DE PAGO</w:t>
      </w:r>
    </w:p>
    <w:p>
      <w:pPr>
        <w:spacing w:after="160"/>
        <w:jc w:val="both"/>
      </w:pPr>
      <w:r>
        <w:rPr>
          <w:rFonts w:ascii="Inter" w:cs="Inter" w:eastAsia="Inter" w:hAnsi="Inter"/>
          <w:sz w:val="24"/>
          <w:szCs w:val="24"/>
        </w:rPr>
        <w:t xml:space="preserve">El pago se realizará contra entrega satisfactoria del producto, conformidad de la Distribuidora de Electricidad ENDE DEORURO S.A. y entrega de la siguiente documentación: Nota de Entrega, Solicitud de Pago y Factura.</w:t>
      </w:r>
    </w:p>
    <w:p>
      <w:pPr>
        <w:spacing w:after="80" w:before="60"/>
      </w:pPr>
      <w:r>
        <w:rPr>
          <w:rFonts w:ascii="Inter" w:cs="Inter" w:eastAsia="Inter" w:hAnsi="Inter"/>
          <w:b/>
          <w:bCs/>
          <w:sz w:val="28"/>
          <w:szCs w:val="28"/>
        </w:rPr>
        <w:t xml:space="preserve">11.   APLICACIÓN DE MULTAS</w:t>
      </w:r>
    </w:p>
    <w:p>
      <w:pPr>
        <w:spacing w:after="300"/>
        <w:jc w:val="both"/>
      </w:pPr>
      <w:r>
        <w:rPr>
          <w:rFonts w:ascii="Inter" w:cs="Inter" w:eastAsia="Inter" w:hAnsi="Inter"/>
          <w:sz w:val="24"/>
          <w:szCs w:val="24"/>
        </w:rPr>
        <w:t xml:space="preserve">Ante el incumplimiento de los plazos y otras condiciones establecidas de la Orden de compra y especificaciones técnicas, se aplicará la multa del 0.25% por día de retraso, que se menciona en los Términos y Condiciones.</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gridCol w:w="100"/>
    </w:tblGrid>
    <w:tr>
      <w:tc>
        <w:tcPr>
          <w:tcW w:type="pct" w:w="24%"/>
          <w:tcMar>
            <w:top w:type="dxa" w:w="60"/>
            <w:left w:type="dxa" w:w="60"/>
            <w:bottom w:type="dxa" w:w="60"/>
            <w:right w:type="dxa" w:w="60"/>
          </w:tcMar>
        </w:tcPr>
        <w:p>
          <w:pPr>
            <w:jc w:val="center"/>
          </w:pPr>
          <w:r>
            <w:drawing>
              <wp:inline distT="0" distB="0" distL="0" distR="0">
                <wp:extent cx="1047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57200"/>
                        </a:xfrm>
                        <a:prstGeom prst="rect">
                          <a:avLst/>
                        </a:prstGeom>
                      </pic:spPr>
                    </pic:pic>
                  </a:graphicData>
                </a:graphic>
              </wp:inline>
            </w:drawing>
          </w:r>
        </w:p>
      </w:tc>
      <w:tc>
        <w:tcPr>
          <w:tcW w:type="pct" w:w="54%"/>
          <w:tcMar>
            <w:top w:type="dxa" w:w="80"/>
            <w:left w:type="dxa" w:w="80"/>
            <w:bottom w:type="dxa" w:w="80"/>
            <w:right w:type="dxa" w:w="80"/>
          </w:tcMar>
        </w:tcPr>
        <w:p>
          <w:pPr>
            <w:jc w:val="center"/>
          </w:pPr>
          <w:r>
            <w:rPr>
              <w:rFonts w:ascii="Inter" w:cs="Inter" w:eastAsia="Inter" w:hAnsi="Inter"/>
              <w:b/>
              <w:bCs/>
              <w:sz w:val="24"/>
              <w:szCs w:val="24"/>
            </w:rPr>
            <w:t xml:space="preserve">ADQUISICION DE HERRAMIENTA PARA CUADRILLAS</w:t>
          </w:r>
        </w:p>
      </w:tc>
      <w:tc>
        <w:tcPr>
          <w:tcW w:type="pct" w:w="22%"/>
          <w:tcMar>
            <w:top w:type="dxa" w:w="60"/>
            <w:left w:type="dxa" w:w="60"/>
            <w:bottom w:type="dxa" w:w="60"/>
            <w:right w:type="dxa" w:w="60"/>
          </w:tcMar>
        </w:tcPr>
        <w:p>
          <w:pPr>
            <w:jc w:val="center"/>
          </w:pPr>
          <w:r>
            <w:rPr>
              <w:rFonts w:ascii="Inter" w:cs="Inter" w:eastAsia="Inter" w:hAnsi="Inter"/>
              <w:sz w:val="20"/>
              <w:szCs w:val="20"/>
            </w:rPr>
            <w:t xml:space="preserve">Rev. N° 1</w:t>
          </w:r>
        </w:p>
        <w:p>
          <w:pPr>
            <w:jc w:val="center"/>
          </w:pPr>
          <w:r>
            <w:rPr>
              <w:rFonts w:ascii="Inter" w:cs="Inter" w:eastAsia="Inter" w:hAnsi="Inter"/>
              <w:sz w:val="20"/>
              <w:szCs w:val="20"/>
            </w:rPr>
            <w:t xml:space="preserve">MAYO - 2026</w:t>
          </w:r>
        </w:p>
        <w:p>
          <w:pPr>
            <w:jc w:val="center"/>
          </w:pPr>
          <w:r>
            <w:rPr>
              <w:rFonts w:ascii="Inter" w:cs="Inter" w:eastAsia="Inter" w:hAnsi="Inter"/>
              <w:sz w:val="20"/>
              <w:szCs w:val="20"/>
            </w:rPr>
            <w:t xml:space="preserve">Página </w:t>
          </w:r>
          <w:r>
            <w:rPr>
              <w:rFonts w:ascii="Inter" w:cs="Inter" w:eastAsia="Inter" w:hAnsi="Inter"/>
              <w:sz w:val="20"/>
              <w:szCs w:val="20"/>
            </w:rPr>
            <w:fldChar w:fldCharType="begin"/>
            <w:instrText xml:space="preserve">PAGE</w:instrText>
            <w:fldChar w:fldCharType="separate"/>
            <w:fldChar w:fldCharType="end"/>
          </w:r>
          <w:r>
            <w:rPr>
              <w:rFonts w:ascii="Inter" w:cs="Inter" w:eastAsia="Inter" w:hAnsi="Inter"/>
              <w:sz w:val="20"/>
              <w:szCs w:val="20"/>
            </w:rPr>
            <w:t xml:space="preserve"> / 7</w:t>
          </w:r>
        </w:p>
      </w:tc>
    </w:tr>
  </w:tbl>
  <w:p>
    <w:pP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7b82d11fe073f0e984ab56866a7f650b0a140c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7b82d11fe073f0e984ab56866a7f650b0a140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2026-08-23T02:45:45.245Z</dcterms:created>
  <dcterms:modified xsi:type="dcterms:W3CDTF">2026-08-23T02:45:45.245Z</dcterms:modified>
</cp:coreProperties>
</file>

<file path=docProps/custom.xml><?xml version="1.0" encoding="utf-8"?>
<Properties xmlns="http://schemas.openxmlformats.org/officeDocument/2006/custom-properties" xmlns:vt="http://schemas.openxmlformats.org/officeDocument/2006/docPropsVTypes"/>
</file>