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60"/>
      </w:pPr>
      <w:r>
        <w:rPr>
          <w:b/>
          <w:bCs/>
          <w:color w:val="10243E"/>
          <w:sz w:val="40"/>
          <w:szCs w:val="40"/>
        </w:rPr>
        <w:t xml:space="preserve">Executive Summary</w:t>
      </w:r>
    </w:p>
    <w:p>
      <w:pPr>
        <w:pBdr>
          <w:bottom w:val="single" w:color="CCCCCC" w:sz="4" w:space="6"/>
        </w:pBdr>
        <w:spacing w:after="180"/>
      </w:pPr>
      <w:r>
        <w:rPr>
          <w:i/>
          <w:iCs/>
          <w:color w:val="666666"/>
          <w:sz w:val="22"/>
          <w:szCs w:val="22"/>
        </w:rPr>
        <w:t xml:space="preserve">Global Retail Performance — Global Superstore (2011–2014)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Prepared by: </w:t>
      </w:r>
      <w:r>
        <w:rPr>
          <w:sz w:val="19"/>
          <w:szCs w:val="19"/>
        </w:rPr>
        <w:t xml:space="preserve">Fortuné — Data Analytics Intern, AnalystLab Africa</w:t>
      </w:r>
    </w:p>
    <w:p>
      <w:pPr>
        <w:spacing w:after="220"/>
      </w:pPr>
      <w:r>
        <w:rPr>
          <w:b/>
          <w:bCs/>
          <w:sz w:val="19"/>
          <w:szCs w:val="19"/>
        </w:rPr>
        <w:t xml:space="preserve">Date: </w:t>
      </w:r>
      <w:r>
        <w:rPr>
          <w:sz w:val="19"/>
          <w:szCs w:val="19"/>
        </w:rPr>
        <w:t xml:space="preserve">August 16, 2026</w:t>
      </w:r>
    </w:p>
    <w:p>
      <w:pPr>
        <w:pStyle w:val="Heading1"/>
        <w:pBdr>
          <w:bottom w:val="single" w:color="D9D9D9" w:sz="4" w:space="3"/>
        </w:pBdr>
        <w:spacing w:after="90" w:before="200"/>
      </w:pPr>
      <w:r>
        <w:rPr>
          <w:b/>
          <w:bCs/>
          <w:color w:val="10243E"/>
          <w:sz w:val="23"/>
          <w:szCs w:val="23"/>
        </w:rPr>
        <w:t xml:space="preserve">1. Context</w:t>
      </w:r>
    </w:p>
    <w:p>
      <w:pPr>
        <w:spacing w:after="130" w:line="276"/>
        <w:jc w:val="both"/>
      </w:pPr>
      <w:r>
        <w:rPr>
          <w:sz w:val="21"/>
          <w:szCs w:val="21"/>
        </w:rPr>
        <w:t xml:space="preserve">This summary presents the results of the Power BI dashboard built from the Global Superstore Dataset (51,290 transaction lines, 25,035 orders, 7 markets, 3 product categories, 2011–2014). The dashboard addresses the seven business questions set out by AnalystLab Africa: overall performance, regions, segments, categories, most profitable products, trends, and recommendations.</w:t>
      </w:r>
    </w:p>
    <w:p>
      <w:pPr>
        <w:pStyle w:val="Heading1"/>
        <w:pBdr>
          <w:bottom w:val="single" w:color="D9D9D9" w:sz="4" w:space="3"/>
        </w:pBdr>
        <w:spacing w:after="90" w:before="200"/>
      </w:pPr>
      <w:r>
        <w:rPr>
          <w:b/>
          <w:bCs/>
          <w:color w:val="10243E"/>
          <w:sz w:val="23"/>
          <w:szCs w:val="23"/>
        </w:rPr>
        <w:t xml:space="preserve">2. Key Performance Indicators (KPIs)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024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4675"/>
            <w:shd w:fill="1024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46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$12,642,501.91</w:t>
            </w:r>
          </w:p>
        </w:tc>
      </w:tr>
      <w:tr>
        <w:tc>
          <w:tcPr>
            <w:tcW w:type="dxa" w:w="467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Total Profit</w:t>
            </w:r>
          </w:p>
        </w:tc>
        <w:tc>
          <w:tcPr>
            <w:tcW w:type="dxa" w:w="467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$1,467,457.29</w:t>
            </w:r>
          </w:p>
        </w:tc>
      </w:tr>
      <w:tr>
        <w:tc>
          <w:tcPr>
            <w:tcW w:type="dxa" w:w="46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Overall Profit Margin</w:t>
            </w:r>
          </w:p>
        </w:tc>
        <w:tc>
          <w:tcPr>
            <w:tcW w:type="dxa" w:w="46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11.61%</w:t>
            </w:r>
          </w:p>
        </w:tc>
      </w:tr>
      <w:tr>
        <w:tc>
          <w:tcPr>
            <w:tcW w:type="dxa" w:w="467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467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25,035</w:t>
            </w:r>
          </w:p>
        </w:tc>
      </w:tr>
      <w:tr>
        <w:tc>
          <w:tcPr>
            <w:tcW w:type="dxa" w:w="46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Average Sales per Order</w:t>
            </w:r>
          </w:p>
        </w:tc>
        <w:tc>
          <w:tcPr>
            <w:tcW w:type="dxa" w:w="46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$504.99</w:t>
            </w:r>
          </w:p>
        </w:tc>
      </w:tr>
      <w:tr>
        <w:tc>
          <w:tcPr>
            <w:tcW w:type="dxa" w:w="467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467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2011 – 2014 (4 years)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D9D9D9" w:sz="4" w:space="3"/>
        </w:pBdr>
        <w:spacing w:after="90" w:before="200"/>
      </w:pPr>
      <w:r>
        <w:rPr>
          <w:b/>
          <w:bCs/>
          <w:color w:val="10243E"/>
          <w:sz w:val="23"/>
          <w:szCs w:val="23"/>
        </w:rPr>
        <w:t xml:space="preserve">3. Five Key Insights</w:t>
      </w:r>
    </w:p>
    <w:p>
      <w:pPr>
        <w:spacing w:after="120" w:line="270"/>
        <w:jc w:val="both"/>
      </w:pPr>
      <w:r>
        <w:rPr>
          <w:b/>
          <w:bCs/>
          <w:color w:val="10243E"/>
          <w:sz w:val="21"/>
          <w:szCs w:val="21"/>
        </w:rPr>
        <w:t xml:space="preserve">1. Strong, accelerating growth — </w:t>
      </w:r>
      <w:r>
        <w:rPr>
          <w:sz w:val="21"/>
          <w:szCs w:val="21"/>
        </w:rPr>
        <w:t xml:space="preserve">sales rose from $2.26M in 2011 to $4.30M in 2014 (+90% cumulative), with annual growth of +18.5% (2012), +27.2% (2013), and +26.3% (2014).</w:t>
      </w:r>
    </w:p>
    <w:p>
      <w:pPr>
        <w:spacing w:after="120" w:line="270"/>
        <w:jc w:val="both"/>
      </w:pPr>
      <w:r>
        <w:rPr>
          <w:b/>
          <w:bCs/>
          <w:color w:val="10243E"/>
          <w:sz w:val="21"/>
          <w:szCs w:val="21"/>
        </w:rPr>
        <w:t xml:space="preserve">2. Technology is the top-performing category — </w:t>
      </w:r>
      <w:r>
        <w:rPr>
          <w:sz w:val="21"/>
          <w:szCs w:val="21"/>
        </w:rPr>
        <w:t xml:space="preserve">it delivers both the highest revenue ($4.74M) and the highest margin (13.99%), while Furniture generates comparable revenue ($4.11M) but the lowest margin of the three categories (6.94%).</w:t>
      </w:r>
    </w:p>
    <w:p>
      <w:pPr>
        <w:spacing w:after="120" w:line="270"/>
        <w:jc w:val="both"/>
      </w:pPr>
      <w:r>
        <w:rPr>
          <w:b/>
          <w:bCs/>
          <w:color w:val="10243E"/>
          <w:sz w:val="21"/>
          <w:szCs w:val="21"/>
        </w:rPr>
        <w:t xml:space="preserve">3. The Central region leads in volume, not efficiency — </w:t>
      </w:r>
      <w:r>
        <w:rPr>
          <w:sz w:val="21"/>
          <w:szCs w:val="21"/>
        </w:rPr>
        <w:t xml:space="preserve">it generates the most revenue ($2.82M) and profit ($311K), yet smaller regions such as North Asia (19.52%) and Canada (26.62%) post far higher margins.</w:t>
      </w:r>
    </w:p>
    <w:p>
      <w:pPr>
        <w:spacing w:after="120" w:line="270"/>
        <w:jc w:val="both"/>
      </w:pPr>
      <w:r>
        <w:rPr>
          <w:b/>
          <w:bCs/>
          <w:color w:val="10243E"/>
          <w:sz w:val="21"/>
          <w:szCs w:val="21"/>
        </w:rPr>
        <w:t xml:space="preserve">4. Excessive discounting is eroding profitability — </w:t>
      </w:r>
      <w:r>
        <w:rPr>
          <w:sz w:val="21"/>
          <w:szCs w:val="21"/>
        </w:rPr>
        <w:t xml:space="preserve">the correlation between discount and profit is negative (-0.32); any discount above 20% produces a net aggregate loss, totaling roughly -$814,000 across the 20–30%, 30–50%, and 50–100% discount bands.</w:t>
      </w:r>
    </w:p>
    <w:p>
      <w:pPr>
        <w:spacing w:after="120" w:line="270"/>
        <w:jc w:val="both"/>
      </w:pPr>
      <w:r>
        <w:rPr>
          <w:b/>
          <w:bCs/>
          <w:color w:val="10243E"/>
          <w:sz w:val="21"/>
          <w:szCs w:val="21"/>
        </w:rPr>
        <w:t xml:space="preserve">5. A handful of specific products are dragging down overall performance — </w:t>
      </w:r>
      <w:r>
        <w:rPr>
          <w:sz w:val="21"/>
          <w:szCs w:val="21"/>
        </w:rPr>
        <w:t xml:space="preserve">the Tables sub-category posts a negative margin (-8.46%, or -$64,083 in losses), driven by products such as the Cubify CubeX 3D printer (up to -$8,880 in losses on a single product) — a problem invisible at the aggregated category level.</w:t>
      </w:r>
    </w:p>
    <w:p>
      <w:pPr>
        <w:pStyle w:val="Heading1"/>
        <w:pBdr>
          <w:bottom w:val="single" w:color="D9D9D9" w:sz="4" w:space="3"/>
        </w:pBdr>
        <w:spacing w:after="90" w:before="200"/>
      </w:pPr>
      <w:r>
        <w:rPr>
          <w:b/>
          <w:bCs/>
          <w:color w:val="10243E"/>
          <w:sz w:val="23"/>
          <w:szCs w:val="23"/>
        </w:rPr>
        <w:t xml:space="preserve">4. Three Business Risks</w:t>
      </w:r>
    </w:p>
    <w:p>
      <w:pPr>
        <w:spacing w:after="120" w:line="270"/>
        <w:jc w:val="both"/>
      </w:pPr>
      <w:r>
        <w:rPr>
          <w:b/>
          <w:bCs/>
          <w:color w:val="10243E"/>
          <w:sz w:val="21"/>
          <w:szCs w:val="21"/>
        </w:rPr>
        <w:t xml:space="preserve">Risk 1 — Uncontrolled discount policy — </w:t>
      </w:r>
      <w:r>
        <w:rPr>
          <w:sz w:val="21"/>
          <w:szCs w:val="21"/>
        </w:rPr>
        <w:t xml:space="preserve">nearly $814,000 in cumulative losses stem from discounts above 20%, a direct and avoidable drain on profitability.</w:t>
      </w:r>
    </w:p>
    <w:p>
      <w:pPr>
        <w:spacing w:after="120" w:line="270"/>
        <w:jc w:val="both"/>
      </w:pPr>
      <w:r>
        <w:rPr>
          <w:b/>
          <w:bCs/>
          <w:color w:val="10243E"/>
          <w:sz w:val="21"/>
          <w:szCs w:val="21"/>
        </w:rPr>
        <w:t xml:space="preserve">Risk 2 — Reliance on structurally unprofitable products — </w:t>
      </w:r>
      <w:r>
        <w:rPr>
          <w:sz w:val="21"/>
          <w:szCs w:val="21"/>
        </w:rPr>
        <w:t xml:space="preserve">24.5% of order lines (12,544 out of 51,290) are sold at a loss, totaling -$920,646, which weakens the overall margin despite a positive net result.</w:t>
      </w:r>
    </w:p>
    <w:p>
      <w:pPr>
        <w:spacing w:after="120" w:line="270"/>
        <w:jc w:val="both"/>
      </w:pPr>
      <w:r>
        <w:rPr>
          <w:b/>
          <w:bCs/>
          <w:color w:val="10243E"/>
          <w:sz w:val="21"/>
          <w:szCs w:val="21"/>
        </w:rPr>
        <w:t xml:space="preserve">Risk 3 — Highly uneven regional margins — </w:t>
      </w:r>
      <w:r>
        <w:rPr>
          <w:sz w:val="21"/>
          <w:szCs w:val="21"/>
        </w:rPr>
        <w:t xml:space="preserve">Southeast Asia (2.02%) and EMEA (5.45%) operate near breakeven, exposing the business to risk from rising logistics costs or competitive pressure.</w:t>
      </w:r>
    </w:p>
    <w:p>
      <w:pPr>
        <w:pStyle w:val="Heading1"/>
        <w:pBdr>
          <w:bottom w:val="single" w:color="D9D9D9" w:sz="4" w:space="3"/>
        </w:pBdr>
        <w:spacing w:after="90" w:before="200"/>
      </w:pPr>
      <w:r>
        <w:rPr>
          <w:b/>
          <w:bCs/>
          <w:color w:val="10243E"/>
          <w:sz w:val="23"/>
          <w:szCs w:val="23"/>
        </w:rPr>
        <w:t xml:space="preserve">5. Three Business Opportunities</w:t>
      </w:r>
    </w:p>
    <w:p>
      <w:pPr>
        <w:spacing w:after="120" w:line="270"/>
        <w:jc w:val="both"/>
      </w:pPr>
      <w:r>
        <w:rPr>
          <w:b/>
          <w:bCs/>
          <w:color w:val="10243E"/>
          <w:sz w:val="21"/>
          <w:szCs w:val="21"/>
        </w:rPr>
        <w:t xml:space="preserve">Opportunity 1 — Accelerate investment in Technology — </w:t>
      </w:r>
      <w:r>
        <w:rPr>
          <w:sz w:val="21"/>
          <w:szCs w:val="21"/>
        </w:rPr>
        <w:t xml:space="preserve">the category combining the highest revenue and margin, led by flagship products such as the Canon imageCLASS copier ($25,200 in profit on its own) and premium smartphones.</w:t>
      </w:r>
    </w:p>
    <w:p>
      <w:pPr>
        <w:spacing w:after="120" w:line="270"/>
        <w:jc w:val="both"/>
      </w:pPr>
      <w:r>
        <w:rPr>
          <w:b/>
          <w:bCs/>
          <w:color w:val="10243E"/>
          <w:sz w:val="21"/>
          <w:szCs w:val="21"/>
        </w:rPr>
        <w:t xml:space="preserve">Opportunity 2 — Replicate the margin models of top-performing markets — </w:t>
      </w:r>
      <w:r>
        <w:rPr>
          <w:sz w:val="21"/>
          <w:szCs w:val="21"/>
        </w:rPr>
        <w:t xml:space="preserve">North Asia, Central Asia, and Canada prove that 17–26% profitability is achievable; their pricing or product approach could be extended to other regions.</w:t>
      </w:r>
    </w:p>
    <w:p>
      <w:pPr>
        <w:spacing w:after="120" w:line="270"/>
        <w:jc w:val="both"/>
      </w:pPr>
      <w:r>
        <w:rPr>
          <w:b/>
          <w:bCs/>
          <w:color w:val="10243E"/>
          <w:sz w:val="21"/>
          <w:szCs w:val="21"/>
        </w:rPr>
        <w:t xml:space="preserve">Opportunity 3 — Capitalize on growth momentum — </w:t>
      </w:r>
      <w:r>
        <w:rPr>
          <w:sz w:val="21"/>
          <w:szCs w:val="21"/>
        </w:rPr>
        <w:t xml:space="preserve">double-digit growth, accelerating over three consecutive years, offers a window to invest in new-market acquisition while momentum remains favorable.</w:t>
      </w:r>
    </w:p>
    <w:p>
      <w:pPr>
        <w:pStyle w:val="Heading1"/>
        <w:pBdr>
          <w:bottom w:val="single" w:color="D9D9D9" w:sz="4" w:space="3"/>
        </w:pBdr>
        <w:spacing w:after="90" w:before="200"/>
      </w:pPr>
      <w:r>
        <w:rPr>
          <w:b/>
          <w:bCs/>
          <w:color w:val="10243E"/>
          <w:sz w:val="23"/>
          <w:szCs w:val="23"/>
        </w:rPr>
        <w:t xml:space="preserve">6. Recommendations</w:t>
      </w:r>
    </w:p>
    <w:p>
      <w:pPr>
        <w:spacing w:after="120" w:line="270"/>
        <w:jc w:val="both"/>
      </w:pPr>
      <w:r>
        <w:rPr>
          <w:b/>
          <w:bCs/>
          <w:color w:val="10243E"/>
          <w:sz w:val="21"/>
          <w:szCs w:val="21"/>
        </w:rPr>
        <w:t xml:space="preserve">1. Cap discounts at 20% maximum — </w:t>
      </w:r>
      <w:r>
        <w:rPr>
          <w:sz w:val="21"/>
          <w:szCs w:val="21"/>
        </w:rPr>
        <w:t xml:space="preserve">or require managerial approval beyond that threshold, to recover part of the ~$814,000 in losses tied to excessive discounting.</w:t>
      </w:r>
    </w:p>
    <w:p>
      <w:pPr>
        <w:spacing w:after="120" w:line="270"/>
        <w:jc w:val="both"/>
      </w:pPr>
      <w:r>
        <w:rPr>
          <w:b/>
          <w:bCs/>
          <w:color w:val="10243E"/>
          <w:sz w:val="21"/>
          <w:szCs w:val="21"/>
        </w:rPr>
        <w:t xml:space="preserve">2. Reassess or discontinue chronically unprofitable products — </w:t>
      </w:r>
      <w:r>
        <w:rPr>
          <w:sz w:val="21"/>
          <w:szCs w:val="21"/>
        </w:rPr>
        <w:t xml:space="preserve">particularly Bevis-brand tables and Cubify 3D printers, by renegotiating supplier costs or adjusting selling prices.</w:t>
      </w:r>
    </w:p>
    <w:p>
      <w:pPr>
        <w:spacing w:after="120" w:line="270"/>
        <w:jc w:val="both"/>
      </w:pPr>
      <w:r>
        <w:rPr>
          <w:b/>
          <w:bCs/>
          <w:color w:val="10243E"/>
          <w:sz w:val="21"/>
          <w:szCs w:val="21"/>
        </w:rPr>
        <w:t xml:space="preserve">3. Prioritize marketing spend and inventory on Technology — </w:t>
      </w:r>
      <w:r>
        <w:rPr>
          <w:sz w:val="21"/>
          <w:szCs w:val="21"/>
        </w:rPr>
        <w:t xml:space="preserve">especially copiers and premium smartphones, to maximize return per dollar invested.</w:t>
      </w:r>
    </w:p>
    <w:p>
      <w:pPr>
        <w:spacing w:after="120" w:line="270"/>
        <w:jc w:val="both"/>
      </w:pPr>
      <w:r>
        <w:rPr>
          <w:b/>
          <w:bCs/>
          <w:color w:val="10243E"/>
          <w:sz w:val="21"/>
          <w:szCs w:val="21"/>
        </w:rPr>
        <w:t xml:space="preserve">4. Rebalance regional allocation by margin, not just volume — </w:t>
      </w:r>
      <w:r>
        <w:rPr>
          <w:sz w:val="21"/>
          <w:szCs w:val="21"/>
        </w:rPr>
        <w:t xml:space="preserve">strengthen presence in North/Central Asia and Canada, while investigating the causes of weak margins in Southeast Asia and EMEA.</w:t>
      </w:r>
    </w:p>
    <w:p>
      <w:pPr>
        <w:spacing w:after="120" w:line="270"/>
        <w:jc w:val="both"/>
      </w:pPr>
      <w:r>
        <w:rPr>
          <w:b/>
          <w:bCs/>
          <w:color w:val="10243E"/>
          <w:sz w:val="21"/>
          <w:szCs w:val="21"/>
        </w:rPr>
        <w:t xml:space="preserve">5. Implement monthly monitoring of the unprofitable-order-line rate — </w:t>
      </w:r>
      <w:r>
        <w:rPr>
          <w:sz w:val="21"/>
          <w:szCs w:val="21"/>
        </w:rPr>
        <w:t xml:space="preserve">currently 24.5%, as a new dashboard KPI to quickly detect any profitability drift.</w:t>
      </w:r>
    </w:p>
    <w:p>
      <w:pPr>
        <w:spacing w:after="120" w:line="270"/>
        <w:jc w:val="both"/>
      </w:pPr>
      <w:r>
        <w:rPr>
          <w:b/>
          <w:bCs/>
          <w:color w:val="10243E"/>
          <w:sz w:val="21"/>
          <w:szCs w:val="21"/>
        </w:rPr>
        <w:t xml:space="preserve">6. Strengthen the Corporate and Home Office segments — </w:t>
      </w:r>
      <w:r>
        <w:rPr>
          <w:sz w:val="21"/>
          <w:szCs w:val="21"/>
        </w:rPr>
        <w:t xml:space="preserve">their margins (11.5% and 12.0%) are slightly higher than Consumer's (11.5%), despite lower volume — a profitability lever to pursue alongside volume growth.</w:t>
      </w:r>
    </w:p>
    <w:p>
      <w:pPr>
        <w:pStyle w:val="Heading1"/>
        <w:pBdr>
          <w:bottom w:val="single" w:color="D9D9D9" w:sz="4" w:space="3"/>
        </w:pBdr>
        <w:spacing w:after="90" w:before="200"/>
      </w:pPr>
      <w:r>
        <w:rPr>
          <w:b/>
          <w:bCs/>
          <w:color w:val="10243E"/>
          <w:sz w:val="23"/>
          <w:szCs w:val="23"/>
        </w:rPr>
        <w:t xml:space="preserve">7. Conclusion</w:t>
      </w:r>
    </w:p>
    <w:p>
      <w:pPr>
        <w:spacing w:after="130" w:line="276"/>
        <w:jc w:val="both"/>
      </w:pPr>
      <w:r>
        <w:rPr>
          <w:sz w:val="21"/>
          <w:szCs w:val="21"/>
        </w:rPr>
        <w:t xml:space="preserve">The company shows a healthy growth trajectory and positive overall profitability (11.61% margin), but this performance rests on a fragile balance: a significant share of transactions are unprofitable, mainly due to a poorly controlled discount policy and a handful of structurally unprofitable products. The recommendations above aim to consolidate existing growth drivers (Technology, high-margin markets) while correcting the identified profitability leaks — turning fast growth into profitable growth.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5"/>
        <w:szCs w:val="15"/>
      </w:rPr>
      <w:t xml:space="preserve">Executive Summary — Global Superstore   |   Page </w:t>
    </w:r>
    <w:r>
      <w:rPr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A34" w:sz="4" w:space="4"/>
      </w:pBdr>
    </w:pPr>
    <w:r>
      <w:rPr>
        <w:b/>
        <w:bCs/>
        <w:color w:val="444444"/>
        <w:sz w:val="17"/>
        <w:szCs w:val="17"/>
      </w:rPr>
      <w:t xml:space="preserve">ANALYSTLAB AFRICA   |   Data Analytics Internship — Week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2026-08-16T10:18:03.867Z</dcterms:created>
  <dcterms:modified xsi:type="dcterms:W3CDTF">2026-08-16T10:18:03.868Z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