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0F6E56"/>
          <w:sz w:val="32"/>
          <w:szCs w:val="32"/>
        </w:rPr>
        <w:t xml:space="preserve">HealthConnect Analytics — Final Integration &amp; Decision Support Package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AnalystLab Africa Experience Lab — Semaine 8 — Piste Data Analytics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Programme</w:t>
            </w:r>
          </w:p>
        </w:tc>
        <w:tc>
          <w:tcPr>
            <w:tcW w:type="dxa" w:w="6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AnalystLab Africa Experience Lab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Semaine</w:t>
            </w:r>
          </w:p>
        </w:tc>
        <w:tc>
          <w:tcPr>
            <w:tcW w:type="dxa" w:w="6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Semaine 8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Projet</w:t>
            </w:r>
          </w:p>
        </w:tc>
        <w:tc>
          <w:tcPr>
            <w:tcW w:type="dxa" w:w="6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HealthConnect Clinic Experience Lab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Piste</w:t>
            </w:r>
          </w:p>
        </w:tc>
        <w:tc>
          <w:tcPr>
            <w:tcW w:type="dxa" w:w="6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Analytics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Auteur</w:t>
            </w:r>
          </w:p>
        </w:tc>
        <w:tc>
          <w:tcPr>
            <w:tcW w:type="dxa" w:w="6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Fortuné Assouan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</w:tbl>
    <w:p>
      <w:pPr>
        <w:pStyle w:val="Heading1"/>
        <w:spacing w:after="150" w:before="300"/>
      </w:pPr>
      <w:r>
        <w:t xml:space="preserve">1. Transition Semaine 7 → Semaine 8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Livrable principal S7 : rapport HealthConnect_Semaine7_DataAnalytics.docx — 12 tests documentés (7 sur le risk_score, 5 en extension), correction du camembert vérifiée dans Power BI, message de collaboration envoyé à Data Science.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Résultat de test le plus important : le risk_score seul bat la baseline (accuracy 59,8% · AUC 0,616 · recall 48,8% vs ~52% base rate) et reste stable sur 3 découpages, mais fait perdre du recall par rapport aux 4 facteurs pris séparément (48,8% vs 64,0%).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Problème majeur découvert : (1) un modèle plus complexe (random forest sur variables brutes) surapprend nettement (accuracy entraînement 75,8% vs test 61,4%) ; (2) une partie des no-show échappe aux 4 facteurs actuels — délai de réservation moyen plus court chez ces faux négatifs (19,5j vs 44,4j) et 78,6% avaient pourtant reçu un rappel.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 qui a été affiné : camembert remplacé par un graphique à colonnes (vérifié), recommandation S5 sur les rappels nuancée (facteur le moins déterminant des 4 une fois les autres contrôlés), recommandation sur previous_no_shows en continu confirmée (gain réel mais modeste).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Composant considéré comme prêt : dashboard Power BI final (KPI + risk_score + visualisations corrigées) et recommandation « 4 facteurs séparés » pour la modélisation.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 qu'il reste à intégrer : retour de Data Science non reçu au moment de la clôture du livrable S8 ; par décision de la piste Data Analytics, le projet est finalisé sans ce retour, sur la seule base des données et analyses produites en interne — l'extension du §7 (S7) reste disponible pour une intégration ultérieure si Data Science répond.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Piste(s) impliquée(s) dans l'intégration finale : Data Analytics (validation), Data Science (dépendance directe), Project Management (coordination / escalade).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 qui sera démontré en présentation finale : évolution du dashboard (S5→S7), pourquoi le risk_score seul ne suffit pas pour un modèle prédictif, et la découverte du sous-groupe de no-show non détecté par les facteurs actuels.</w:t>
      </w:r>
    </w:p>
    <w:p>
      <w:pPr>
        <w:pStyle w:val="Heading1"/>
        <w:spacing w:after="150" w:before="300"/>
      </w:pPr>
      <w:r>
        <w:t xml:space="preserve">2. Partie 1 — Final Integration Readiness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15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Réponse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Final component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 Power BI final (5 KPI + risk_score + visualisations corrigées) et recommandation « 4 facteurs séparés &gt; score agrégé » pour la modélisation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Problème adressé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Réduire les rendez-vous manqués via identification et priorisation des facteurs de risque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Statut actuel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Prêt — testé, stable, camembert corrigé et vérifié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Amélioré en S7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Validation prédictive du risk_score, correction visuelle du dashboard, nuance de la recommandation sur les rappels, extension de test comparant plusieurs approches de modélisation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Dépend de quelle(s) piste(s)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Aucune dépendance entrante forte, sauf confirmation souhaitée de Data Science sur leur usage réel des facteurs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Qui dépend de mon output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Science (facteurs de risque comme variables prédictives), GenAI (piste à explorer sur le sous-groupe de no-show non détecté)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 fourni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Résultats chiffrés des Tests 4 et 7, recommandation des 4 facteurs séparés, alerte sur le surapprentissage et sur l'angle mort des faux négatifs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 attendu d'une autre piste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Aucune réponse reçue de Data Science — le livrable est finalisé sur la seule base des données et analyses Data Analytics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Preuve de readiness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 tests documentés avec résultats chiffrés, dashboard Power BI final vérifié visuellement (captures avant/après en section 5)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Limites restantes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Absence de retour Data Science sur l'usage réel des facteurs dans leur modèle ; échantillon à 4 facteurs trop faible (n=22) ; sous-groupe de no-show sans facteur de risque connu non résolu</w:t>
            </w:r>
          </w:p>
        </w:tc>
      </w:tr>
    </w:tbl>
    <w:p>
      <w:pPr>
        <w:pStyle w:val="Heading1"/>
        <w:spacing w:after="150" w:before="300"/>
      </w:pPr>
      <w:r>
        <w:t xml:space="preserve">3. Collaboration cross-track obligatoire (HC-POD)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D85A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6150"/>
            <w:shd w:fill="D85A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Track collaboré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Science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Dépendance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Transformation du risk_score / des 4 facteurs de risque en variables prédictives pour le modèle de classification de Data Science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 fourni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Résultats chiffrés du Test 4 (le score agrégé fait perdre du recall : 48,8% vs 64,0% pour les facteurs séparés) et du Test 7 (gain réel mais marginal de previous_no_shows en continu, AUC 0,649 vs 0,646)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 demandé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Science utilise-t-elle déjà les 4 facteurs séparément, ou un score agrégé similaire, dans son propre modèle ?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 reçu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Aucune réponse reçue de Data Science à la date de clôture du livrable Semaine 8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Activité d'intégration finale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Message direct envoyé au HC-POD ; extension de test menée en parallèle côté Data Analytics (comparaison d'algorithmes, risque de surapprentissage, analyse des faux négatifs) pour préparer la collaboration en attendant une réponse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Ce qui a changé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Rien côté Data Science à ce stade. Par décision de la piste Data Analytics, le livrable S8 est finalisé sans ce retour : les KPI, findings et recommandations reposent uniquement sur les données et analyses produites en interne (§7 de l'extension incluse) ; l'extension reste disponible pour intégration ultérieure si Data Science répond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Preuve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Capture du message envoyé (à joindre)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Contribution à la présentation finale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Démonstration que le score seul ne suffit pas pour un modèle prédictif (perte de recall) + alerte sur le surapprentissage et l'angle mort des faux négatifs, transmis en amont pour éviter que Data Science reproduise ces pièges</w:t>
            </w:r>
          </w:p>
        </w:tc>
      </w:tr>
    </w:tbl>
    <w:p>
      <w:pPr>
        <w:pStyle w:val="Heading1"/>
        <w:spacing w:after="150" w:before="300"/>
      </w:pPr>
      <w:r>
        <w:t xml:space="preserve">4. HealthConnect Final Analytics &amp; Decision Support Package</w:t>
      </w:r>
    </w:p>
    <w:p>
      <w:pPr>
        <w:pStyle w:val="Heading2"/>
        <w:spacing w:after="120" w:before="250"/>
      </w:pPr>
      <w:r>
        <w:t xml:space="preserve">4.1 KPI finaux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50"/>
        <w:gridCol w:w="4000"/>
      </w:tblGrid>
      <w:tr>
        <w:trPr>
          <w:tblHeader/>
        </w:trPr>
        <w:tc>
          <w:tcPr>
            <w:tcW w:type="dxa" w:w="535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40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5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Taux de no-show global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48,5%</w:t>
            </w:r>
          </w:p>
        </w:tc>
      </w:tr>
      <w:tr>
        <w:tc>
          <w:tcPr>
            <w:tcW w:type="dxa" w:w="5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Taux de rappel envoyé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72,7%</w:t>
            </w:r>
          </w:p>
        </w:tc>
      </w:tr>
      <w:tr>
        <w:tc>
          <w:tcPr>
            <w:tcW w:type="dxa" w:w="5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No-show avec antécédent / sans antécédent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55,4% / 43,5%</w:t>
            </w:r>
          </w:p>
        </w:tc>
      </w:tr>
      <w:tr>
        <w:tc>
          <w:tcPr>
            <w:tcW w:type="dxa" w:w="5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Délai moyen de réservation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29,6 jours</w:t>
            </w:r>
          </w:p>
        </w:tc>
      </w:tr>
      <w:tr>
        <w:tc>
          <w:tcPr>
            <w:tcW w:type="dxa" w:w="5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Distance moyenne à la clinique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10,1 km (médiane après imputation : 8,7 km)</w:t>
            </w:r>
          </w:p>
        </w:tc>
      </w:tr>
    </w:tbl>
    <w:p>
      <w:pPr>
        <w:pStyle w:val="Heading2"/>
        <w:spacing w:after="120" w:before="250"/>
      </w:pPr>
      <w:r>
        <w:t xml:space="preserve">4.2 Findings validés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Délai de réservation = facteur le plus déterminant du no-show (24,8% à 0-3j vs 60,5% à 30j+) ; confirmé par le modèle S7 (odds ratio 2,65, le plus élevé des 4 facteurs).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Effet de seuil au-delà de 20 km de distance à la clinique (57,8% de no-show), odds ratio 1,50.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 SMS reste le meilleur canal de rappel (45,8% de no-show vs 51,4% sans rappel), mais ce facteur a le poids le plus faible dans le modèle (odds ratio 1,23) : à ne plus présenter comme le levier prioritaire.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Les rendez-vous de suivi (Follow-up) restent le type le plus à risque ; le gradient de risque est confirmé sur ce segment (32,9% → 72,9% selon le nombre de facteurs).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 score de risque combiné (gradient 31,4% → 71,1%, n=370, 7,4% du volume) est un bon indicateur de segmentation pour le dashboard, mais moins performant qu'une approche à facteurs séparés pour la modélisation prédictive.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sous-groupe de no-show n'est pas capté par les 4 facteurs actuels (délai moyen 19,5j, 78,6% avaient reçu un rappel) : angle mort identifié, à explorer en Semaine 8 avec Data Science et GenAI.</w:t>
      </w:r>
    </w:p>
    <w:p>
      <w:pPr>
        <w:pStyle w:val="Heading2"/>
        <w:spacing w:after="120" w:before="250"/>
      </w:pPr>
      <w:r>
        <w:t xml:space="preserve">4.3 Visualisations clés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 Power BI 1 page : 5 cartes KPI + graphique à colonnes (remplaçant le camembert corrigé) + filtres interactifs (type de rendez-vous, âge, genre).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Charte graphique : teal #0F6E56 / corail #D85A30, conservée sur l'ensemble du dashboard.</w:t>
      </w:r>
    </w:p>
    <w:p>
      <w:pPr>
        <w:pStyle w:val="Heading2"/>
        <w:spacing w:after="120" w:before="250"/>
      </w:pPr>
      <w:r>
        <w:t xml:space="preserve">4.4 Recommandations business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Prioriser la relance pour les réservations à plus de 20-30 jours d'échéance (levier le plus fort).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Anticiper la logistique pour les patients situés à plus de 20 km.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Maintenir les rappels SMS, sans les présenter comme le levier n°1.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Surveiller en priorité les rendez-vous de suivi (Follow-up).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Utiliser le risk_score pour la priorisation opérationnelle côté clinique ; transmettre les 4 facteurs séparés à la modélisation prédictive.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Explorer de nouvelles variables (motif de consultation, historique de contact) pour capter le sous-groupe de no-show actuellement non détecté.</w:t>
      </w:r>
    </w:p>
    <w:p>
      <w:pPr>
        <w:pStyle w:val="Heading2"/>
        <w:spacing w:after="120" w:before="250"/>
      </w:pPr>
      <w:r>
        <w:t xml:space="preserve">4.5 Limites analytiques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waiting_time_minutes exclu de tout modèle prédictif (anomalie confirmée, aucune fuite de données exploitable détectée).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Imputation par la médiane appliquée sur ~2% de valeurs manquantes (distance, waiting_time).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Échantillon à 4 facteurs de risque simultanés trop faible pour conclure (n=22).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 modèle de test (régression logistique simple) est un outil exploratoire, non représentatif du modèle final que produira Data Science.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Sous-groupe de no-show sans facteur de risque connu, non résolu à ce stade.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Aucune réponse reçue de Data Science malgré la sollicitation en Semaine 7 : le livrable S8 est finalisé sans validation croisée par cette piste, sur la seule base des données et analyses Data Analytics.</w:t>
      </w:r>
    </w:p>
    <w:p>
      <w:pPr>
        <w:pStyle w:val="Heading2"/>
        <w:spacing w:after="120" w:before="250"/>
      </w:pPr>
      <w:r>
        <w:t xml:space="preserve">4.6 Contribution cross-track</w:t>
      </w:r>
    </w:p>
    <w:p>
      <w:pPr>
        <w:spacing w:after="120"/>
      </w:pPr>
      <w:r>
        <w:t xml:space="preserve">Voir section 3 (Collaboration cross-track obligatoire) : transmission à Data Science des résultats sur le risk_score agrégé vs facteurs séparés, et alerte préventive sur le surapprentissage et l'angle mort des faux négatifs. Aucune réponse reçue à la clôture du livrable S8 ; le contenu reste disponible pour intégration ultérieure par Data Science.</w:t>
      </w:r>
    </w:p>
    <w:p>
      <w:pPr>
        <w:pStyle w:val="Heading2"/>
        <w:spacing w:after="120" w:before="250"/>
      </w:pPr>
      <w:r>
        <w:t xml:space="preserve">4.7 Résumé exécutif</w:t>
      </w:r>
    </w:p>
    <w:p>
      <w:pPr>
        <w:spacing w:after="120"/>
      </w:pPr>
      <w:r>
        <w:t xml:space="preserve">Sur 5000 rendez-vous, près d'un patient sur deux ne se présente pas. Le délai de réservation est de loin le facteur le plus déterminant, suivi de l'antécédent de no-show et de la distance à la clinique. Un score de risque combiné a été construit et validé pour la segmentation, mais les tests montrent qu'il vaut mieux transmettre les 4 facteurs séparément à un modèle prédictif, où ils conservent un meilleur recall. Une part des no-show échappe encore à ces facteurs — une piste à approfondir en Semaine 8 avec les pistes Data Science et GenAI.</w:t>
      </w:r>
    </w:p>
    <w:p>
      <w:pPr>
        <w:pStyle w:val="Heading2"/>
        <w:spacing w:after="120" w:before="250"/>
      </w:pPr>
      <w:r>
        <w:t xml:space="preserve">4.8 Supports de présentation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 Power BI final (fichier .pbix).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 document (package Semaine 8).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Capture du message de collaboration envoyé à Data Science (à joindre).</w:t>
      </w:r>
    </w:p>
    <w:p>
      <w:pPr>
        <w:pStyle w:val="Heading1"/>
        <w:spacing w:after="150" w:before="300"/>
      </w:pPr>
      <w:r>
        <w:t xml:space="preserve">5. Captures — Preuve visuelle de la correction du dashboard</w:t>
      </w:r>
    </w:p>
    <w:p>
      <w:pPr>
        <w:spacing w:after="120"/>
      </w:pPr>
      <w:r>
        <w:t xml:space="preserve">Vue complète du dashboard Power BI, avant et après remplacement du camembert « No-Show by History » par un graphique à colonnes (Test de refinement, cf. section 1).</w:t>
      </w:r>
    </w:p>
    <w:p>
      <w:pPr>
        <w:pStyle w:val="Heading2"/>
        <w:spacing w:after="120" w:before="250"/>
      </w:pPr>
      <w:r>
        <w:t xml:space="preserve">Avant correction</w:t>
      </w:r>
    </w:p>
    <w:p>
      <w:pPr>
        <w:spacing w:after="100"/>
      </w:pPr>
      <w:r>
        <w:drawing>
          <wp:inline distT="0" distB="0" distL="0" distR="0">
            <wp:extent cx="57150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50"/>
      </w:pPr>
      <w:r>
        <w:t xml:space="preserve">Après correction</w:t>
      </w:r>
    </w:p>
    <w:p>
      <w:pPr>
        <w:spacing w:after="100"/>
      </w:pPr>
      <w:r>
        <w:drawing>
          <wp:inline distT="0" distB="0" distL="0" distR="0">
            <wp:extent cx="5715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Les valeurs affichées sur le dashboard final (taux de no-show 48,46% ; taux de rappel 72,68% ; no-show avec antécédent 55,41% ; délai moyen 29,64 jours ; distance moyenne 10,11 km) confirment les KPI validés en section 4.1, aux arrondis près.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1d703353c294e60a1bedf82d11d18009e4068ee.png"/><Relationship Id="rId8" Type="http://schemas.openxmlformats.org/officeDocument/2006/relationships/image" Target="media/4508431eabbc52780b9a939317647c457bcff38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2026-09-25T09:49:20.284Z</dcterms:created>
  <dcterms:modified xsi:type="dcterms:W3CDTF">2026-09-25T09:49:20.284Z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