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HealthConnect Analytics Testing &amp; Refinement Report</w:t>
      </w:r>
    </w:p>
    <w:p>
      <w:pPr>
        <w:spacing w:after="300"/>
      </w:pPr>
      <w:r>
        <w:rPr>
          <w:i/>
          <w:iCs/>
          <w:color w:val="0F6E56"/>
        </w:rPr>
        <w:t xml:space="preserve">AnalystLab Africa Experience Lab — Semaine 7 — Piste Data Analytics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AnalystLab Africa Experience Lab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Semaine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Semaine 7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Projet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HealthConnect Clinic Experience Lab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Analytics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Auteur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Fortuné Assouan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</w:tbl>
    <w:p>
      <w:pPr>
        <w:pStyle w:val="Heading1"/>
        <w:spacing w:after="150" w:before="300"/>
      </w:pPr>
      <w:r>
        <w:t xml:space="preserve">1. Transition Semaine 6 → Semaine 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Livrable principal S6 : rapport HealthConnect_Semaine6_DataAnalytics.docx et fichier dérivé HealthConnect_Appointment_Data_cleaned_S6.csv (imputation médiane appliquée : distance médiane 8,7 km, waiting_time médiane 24 min).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Résultat le plus important : score de risque combiné (délai de réservation &gt;30j + antécédent de no-show + distance &gt;20 km + absence de rappel), avec un gradient de 31,4% (0 facteur) à 71,1% (3 facteurs, n=370, 7,4% du volume).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Limite / dépendance identifiée en S6 : le score n'avait pas encore été testé dans un modèle prédictif réel, et son utilité par rapport aux facteurs pris séparément restait à valider ; un échange avec la piste Data Science était prévu sur la transformation en variables prédictives.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Composant testé en Semaine 7 : le risk_score — sa capacité prédictive, sa stabilité, et sa pertinence comme variable d'entrée pour un modèle de classification, en comparaison avec les facteurs individuels.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Piste(s) concernée(s) : Data Analytics (validation) et Data Science (usage en variable prédictive).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 qui était attendu : confirmer que le score constitue une base fiable pour un futur modèle prédictif, ou identifier ses limites avant qu'il ne soit repris par Data Science.</w:t>
      </w:r>
    </w:p>
    <w:p>
      <w:pPr>
        <w:pStyle w:val="Heading1"/>
        <w:spacing w:after="150" w:before="300"/>
      </w:pPr>
      <w:r>
        <w:t xml:space="preserve">2. Approche de test</w:t>
      </w:r>
    </w:p>
    <w:p>
      <w:pPr>
        <w:spacing w:after="120"/>
      </w:pPr>
      <w:r>
        <w:t xml:space="preserve">Les tests ont été réalisés sur le fichier nettoyé de la Semaine 6 (5000 rendez-vous), en reconstruisant les 4 facteurs de risque binaires puis le risk_score (0 à 4). Un modèle de classification simple (régression logistique, scikit-learn) a été utilisé comme outil de test, avec un découpage entraînement/test stratifié (75/25 %). Les métriques suivies sont l'accuracy, le recall, l'AUC, ainsi que les coefficients du modèle pour évaluer l'importance relative des facteurs. La stabilité a été vérifiée sur 3 découpages aléatoires différents, et la validité du gradient a été retestée par segment (type de rendez-vous).</w:t>
      </w:r>
    </w:p>
    <w:p>
      <w:pPr>
        <w:pStyle w:val="Heading1"/>
        <w:spacing w:after="150" w:before="300"/>
      </w:pPr>
      <w:r>
        <w:t xml:space="preserve">3. Tests, validation des KPI et résultats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900"/>
        <w:gridCol w:w="800"/>
        <w:gridCol w:w="1600"/>
        <w:gridCol w:w="1600"/>
        <w:gridCol w:w="1600"/>
      </w:tblGrid>
      <w:tr>
        <w:trPr>
          <w:tblHeader/>
        </w:trPr>
        <w:tc>
          <w:tcPr>
            <w:tcW w:type="dxa" w:w="1500"/>
            <w:shd w:fill="0F6E5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/ Scénario</w:t>
            </w:r>
          </w:p>
        </w:tc>
        <w:tc>
          <w:tcPr>
            <w:tcW w:type="dxa" w:w="1500"/>
            <w:shd w:fill="0F6E5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900"/>
            <w:shd w:fill="0F6E5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réel</w:t>
            </w:r>
          </w:p>
        </w:tc>
        <w:tc>
          <w:tcPr>
            <w:tcW w:type="dxa" w:w="800"/>
            <w:shd w:fill="0F6E5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600"/>
            <w:shd w:fill="0F6E5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Problème identifié</w:t>
            </w:r>
          </w:p>
        </w:tc>
        <w:tc>
          <w:tcPr>
            <w:tcW w:type="dxa" w:w="1600"/>
            <w:shd w:fill="0F6E5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prise</w:t>
            </w:r>
          </w:p>
        </w:tc>
        <w:tc>
          <w:tcPr>
            <w:tcW w:type="dxa" w:w="1600"/>
            <w:shd w:fill="0F6E5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du re-test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Reconstruction du risk_score à partir des données nettoyées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Retrouver le gradient documenté en S6 (31,4%→71,1%, n=370 / 7,4%)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Gradient identique : 31,4% / 44,9% / 59,3% / 71,1% (n=370, 7,4%)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confirmé fiable et reproductible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risk_score seul comme prédicteur (régression logistique)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Améliorer sur une prédiction naïve (~52% base rate)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 59,8% · AUC 0,616 · Recall 48,8%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(partiel)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Apport réel mais modeste ; recall faible (1 no-show sur 2 raté)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Aucune à ce stade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Confirmé sur 3 découpages (acc. 59,8–61,2%, AUC 0,616–0,635)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Stabilité du score sur 3 échantillons aléatoires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Performances similaires d'un découpage à l'autre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Écart max : 1,4 pt d'accuracy, 0,019 d'AUC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jugé stable, pas un artefact du hasard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risk_score agrégé vs les 4 facteurs pris séparément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Performances égales ou proches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Facteurs séparés : accuracy 61,7% (+1,9 pt), AUC 0,644 (+0,028), recall 64,0% (+15,2 pt)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(score seul)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score agrégé fait perdre du recall par rapport aux facteurs séparés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Recommandation : transmettre les 4 facteurs séparés à Data Science plutôt que le score seul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À valider par Data Science sur leur propre modèle (cf. §6)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Validité du gradient par segment (type de rendez-vous)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Gradient croissant conservé dans chaque segment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Confirmé sur Follow-up (n=1421 : 32,9%→48,2%→62,8%→72,9%), Specialist Consultation (n=900) et General Consultation (n=2086)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Conclusion validée : pas un artefact d'un seul type de rendez-vous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Importance relative des 4 facteurs (poids dans le modèle)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Identifier le(s) facteur(s) le(s) plus déterminant(s)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Délai &gt;30j = odds ratio 2,65 · Antécédent = 1,69 · Distance = 1,50 · Absence de rappel = 1,23 (le plus faible)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L'absence de rappel, souvent perçue comme un levier majeur, pèse le moins une fois les autres facteurs contrôlés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Nuancer la reco S5 sur les rappels : à garder, mais pas à prioriser seul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Confirmé sur le jeu de test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previous_no_shows continu vs antécédent binaire (valider la reco S6)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Amélioration nette avec la variable continue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 quasi identique (61,4% vs 61,5%), AUC légèrement supérieur (0,649 vs 0,646), recall légèrement supérieur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(nuancé)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Gain réel mais marginal dans un modèle simple, moins net que suggéré par l'EDA S5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Maintenir la reco (variable continue) en formulant la conclusion de façon moins catégorique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Confirmé — gain faible mais dans la direction attendue</w:t>
            </w:r>
          </w:p>
        </w:tc>
      </w:tr>
    </w:tbl>
    <w:p>
      <w:pPr>
        <w:pStyle w:val="Heading1"/>
        <w:spacing w:after="150" w:before="300"/>
      </w:pPr>
      <w:r>
        <w:t xml:space="preserve">4. Refinement du dashboard — preuve de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Anomalie identifiée en S6 : le camembert comparant le taux de no-show avec/sans antécédent était une visualisation peu adaptée pour ce type de comparaison (risque de lecture trompeuse des proportions).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 appliquée : remplacement manuel du camembert par un graphique à colonnes dans Power BI Desktop, avec recoloration manuelle en conservant la charte du dashboard (teal #0F6E56 / corail #D85A30).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effectué : vérification directe dans Power BI Desktop que le nouveau graphique reflète correctement les valeurs sous-jacentes (55,4% avec antécédent vs 43,5% sans antécédent).</w:t>
      </w:r>
    </w:p>
    <w:p>
      <w:pPr>
        <w:spacing w:after="80" w:before="100"/>
      </w:pPr>
      <w:r>
        <w:rPr>
          <w:b/>
          <w:bCs/>
          <w:color w:val="D85A30"/>
        </w:rPr>
        <w:t xml:space="preserve">Avant correction :</w:t>
      </w:r>
    </w:p>
    <w:p>
      <w:pPr>
        <w:spacing w:after="150"/>
      </w:pPr>
      <w:r>
        <w:drawing>
          <wp:inline distT="0" distB="0" distL="0" distR="0">
            <wp:extent cx="2619375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</w:pPr>
      <w:r>
        <w:rPr>
          <w:b/>
          <w:bCs/>
          <w:color w:val="0F6E56"/>
        </w:rPr>
        <w:t xml:space="preserve">Après correction :</w:t>
      </w:r>
    </w:p>
    <w:p>
      <w:pPr>
        <w:spacing w:after="200"/>
      </w:pPr>
      <w:r>
        <w:drawing>
          <wp:inline distT="0" distB="0" distL="0" distR="0">
            <wp:extent cx="2619375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Constats validés et recommandations mises à jour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risk_score reste un bon indicateur de segmentation pour le dashboard et la communication business, mais ne doit pas remplacer les 4 facteurs séparés dans un modèle prédictif (perte de recall démontrée).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délai de réservation (&gt;30 jours) reste, de loin, le facteur le plus déterminant du no-show — confirmé à la fois en Semaine 5 (EDA) et en Semaine 7 (modèle).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variable d'antécédent de no-show doit être transmise à Data Science en continu plutôt qu'en binaire, avec un gain mesuré réel mais modeste sur un modèle simple.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sensibilisation par rappel doit être maintenue (facteur peu coûteux à activer) mais ne doit plus être présentée comme le levier prioritaire, son poids relatif étant le plus faible des 4 facteurs testés.</w:t>
      </w:r>
    </w:p>
    <w:p>
      <w:pPr>
        <w:pStyle w:val="Heading1"/>
        <w:spacing w:after="150" w:before="300"/>
      </w:pPr>
      <w:r>
        <w:t xml:space="preserve">6. Collaboration cross-track obligatoire (HC-POD)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5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Piste collaborée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Science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Dépendance projet</w:t>
            </w:r>
          </w:p>
        </w:tc>
        <w:tc>
          <w:tcPr>
            <w:tcW w:type="dxa" w:w="6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Transformation du risk_score / des facteurs de risque en variables prédictives pour le modèle de classification de la piste Data Science (identifiée dès la conclusion du rapport S5–S6)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Composant testé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Pertinence du risk_score agrégé vs les 4 facteurs séparés comme entrée de modèle prédictif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Information transmise</w:t>
            </w:r>
          </w:p>
        </w:tc>
        <w:tc>
          <w:tcPr>
            <w:tcW w:type="dxa" w:w="6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Résultats du Test 4 (perte de recall du score agrégé : 48,8% vs 64,0%) et du Test 7 (gain marginal mais réel de la variable continue)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Information demandée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piste Data Science utilise-t-elle déjà les 4 facteurs séparément, ou un score agrégé similaire, dans son propre modèle ?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Activité de test réalisée</w:t>
            </w:r>
          </w:p>
        </w:tc>
        <w:tc>
          <w:tcPr>
            <w:tcW w:type="dxa" w:w="6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 direct envoyé à la piste Data Science du HC-POD avec les résultats chiffrés et la question ci-dessus ; en parallèle, extension du testing menée côté Data Analytics pour préparer la collaboration (cf. §7 : comparaison d'algorithmes, risque de surapprentissage, analyse des faux négatifs)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Constat / réponse obtenue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 de réponse reçue à la date de rédaction de ce rapport. L'extension du §7 constitue en attendant une base de travail concrète et testée à transmettre dès que le contact aboutit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 / retest</w:t>
            </w:r>
          </w:p>
        </w:tc>
        <w:tc>
          <w:tcPr>
            <w:tcW w:type="dxa" w:w="6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Escalade prévue via le PM du pod si aucune réponse avant la Semaine 8 ; transmission des résultats du §7 (notamment le risque de surapprentissage et l'angle mort sur les faux négatifs) dès que possible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Preuve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Capture du message envoyé (à joindre)</w:t>
            </w:r>
          </w:p>
        </w:tc>
      </w:tr>
    </w:tbl>
    <w:p>
      <w:pPr>
        <w:pStyle w:val="Heading1"/>
        <w:spacing w:after="150" w:before="300"/>
      </w:pPr>
      <w:r>
        <w:t xml:space="preserve">7. Extension — test de plusieurs approches de modélisation (perspective Data Science)</w:t>
      </w:r>
    </w:p>
    <w:p>
      <w:pPr>
        <w:spacing w:after="120"/>
      </w:pPr>
      <w:r>
        <w:t xml:space="preserve">En l'absence de retour de la piste Data Science au moment de la rédaction, une extension a été menée à l'initiative de la piste Data Analytics pour anticiper et préparer cette collaboration : plusieurs algorithmes et approches de modélisation ont été testés sur les mêmes données, avec une validation croisée à 5 plis (plus robuste qu'un simple découpage 75/25). Cette extension reste un travail de test Data Analytics — elle ne remplace pas la validation que Data Science devra faire sur son propre pipeline.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900"/>
        <w:gridCol w:w="800"/>
        <w:gridCol w:w="1600"/>
        <w:gridCol w:w="1600"/>
        <w:gridCol w:w="1600"/>
      </w:tblGrid>
      <w:tr>
        <w:trPr>
          <w:tblHeader/>
        </w:trPr>
        <w:tc>
          <w:tcPr>
            <w:tcW w:type="dxa" w:w="15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/ Scénario</w:t>
            </w:r>
          </w:p>
        </w:tc>
        <w:tc>
          <w:tcPr>
            <w:tcW w:type="dxa" w:w="15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9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réel</w:t>
            </w:r>
          </w:p>
        </w:tc>
        <w:tc>
          <w:tcPr>
            <w:tcW w:type="dxa" w:w="8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6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Problème identifié</w:t>
            </w:r>
          </w:p>
        </w:tc>
        <w:tc>
          <w:tcPr>
            <w:tcW w:type="dxa" w:w="16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prise</w:t>
            </w:r>
          </w:p>
        </w:tc>
        <w:tc>
          <w:tcPr>
            <w:tcW w:type="dxa" w:w="1600"/>
            <w:shd w:fill="D85A3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 du re-test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 Comparaison de plusieurs algorithmes (régression logistique, arbre de décision, random forest) sur les 4 facteurs binarisés — validation croisée 5 plis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modèle plus complexe surpasse nettement la régression logistique simple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Performances quasi identiques entre les 3 modèles (accuracy ~61,8%, AUC 0,648–0,652)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(nuancé)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complexité du modèle n'apporte pas de gain sur ces 4 variables — le signal est déjà capté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Aucune ; conserver un modèle simple et interprétable à ce stade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Confirmé sur validation croisée 5 plis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 Variables brutes/continues + catégorielles (12 colonnes) vs les 4 facteurs binarisés — approche type Data Science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Gain net de performance grâce à plus d'information exploitée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 légèrement supérieur en régression logistique (0,672 vs 0,652) mais recall inférieur (0,595 vs 0,624) ; pas de gain net avec random forest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(gain net attendu non confirmé)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Ajouter des variables ne compense pas la perte de recall ; complexité non justifiée pour l'instant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Recommander de garder les 4 facteurs comme socle, à enrichir prudemment et un par un si Data Science le juge utile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À confirmer par Data Science sur son propre pipeline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 Risque de surapprentissage (train vs test) — random forest profondeur 8 sur variables brutes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Écart faible entre score entraînement et score test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 entraînement 75,8% vs test 61,4% — écart de 14 points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Surapprentissage net sur variables brutes en profondeur ; le modèle mémorise du bruit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Alerte formulée pour Data Science : réduire la profondeur / régulariser avant validation finale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 forest sur facteurs binarisés (moins profond) : écart limité à 1,2 point — pas de surapprentissage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 Analyse des faux négatifs (no-show ratés par le modèle)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 de profil particulier / erreurs distribuées aléatoirement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Délai de réservation moyen 19,5j (vs 44,4j chez les vrais positifs) ; 78,6% avaient reçu un rappel (vs 66,1%)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 (angle mort identifié)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 partie des no-show survient chez des patients sans signal de risque connu — les 4 facteurs ont un angle mort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Documenter comme limite majeure ; suggérer à Data Science/GenAI d'explorer d'autres variables (motif de consultation, historique de contact) pour ce sous-groupe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À creuser en Semaine 8 avec Data Science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 Risque de fuite de données via waiting_time_minutes (renseigné même pour les No-Show, anomalie documentée en S5)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Confirmer l'absence de lien exploitable avec la cible avant exclusion définitive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Moyenne quasi identique entre Attended (24,3 min), No-Show (24,2 min) et Cancelled (23,2 min)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Anomalie de qualité de données confirmée, mais sans pouvoir discriminant réel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 exclue de tout modèle prédictif, comme déjà prévu en S5-S6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Confirmé — aucune fuite exploitable détectée</w:t>
            </w:r>
          </w:p>
        </w:tc>
      </w:tr>
    </w:tbl>
    <w:p>
      <w:pPr>
        <w:spacing w:after="100" w:before="20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Visualisation des deux résultats les plus significatifs de l'extension : le surapprentissage du modèle sur variables brutes (Test 10) et le profil distinct des no-show ratés par le modèle (Test 11).</w:t>
      </w:r>
    </w:p>
    <w:p>
      <w:pPr>
        <w:pStyle w:val="Heading1"/>
        <w:spacing w:after="150" w:before="300"/>
      </w:pPr>
      <w:r>
        <w:t xml:space="preserve">8. Constats validés et recommandations mises à jour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risk_score reste un bon indicateur de segmentation pour le dashboard et la communication business, mais ne doit pas remplacer les 4 facteurs séparés dans un modèle prédictif (perte de recall démontrée).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délai de réservation (&gt;30 jours) reste, de loin, le facteur le plus déterminant du no-show — confirmé en Semaine 5 (EDA), en Semaine 7 (modèle) et par l'analyse d'erreurs (Test 11).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variable d'antécédent de no-show doit être transmise à Data Science en continu plutôt qu'en binaire, avec un gain mesuré réel mais modeste sur un modèle simple.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sensibilisation par rappel doit être maintenue (facteur peu coûteux à activer) mais ne doit plus être présentée comme le levier prioritaire, son poids relatif étant le plus faible des 4 facteurs testés.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modèle plus complexe (random forest, variables brutes) n'apporte pas de gain net à ce stade et présente un risque de surapprentissage marqué (Test 10) — recommandation de rester sur un modèle simple et interprétable tant que ce risque n'est pas maîtrisé.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 partie des no-show échappe aux 4 facteurs de risque actuels (Test 11) : angle mort à explorer en Semaine 8, potentiellement avec de nouvelles variables non encore collectées.</w:t>
      </w:r>
    </w:p>
    <w:p>
      <w:pPr>
        <w:pStyle w:val="Heading1"/>
        <w:spacing w:after="150" w:before="300"/>
      </w:pPr>
      <w:r>
        <w:t xml:space="preserve">9. Limites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modèle de classification utilisé pour les tests (régression logistique simple) est un outil exploratoire, non représentatif de la performance du modèle final que produira la piste Data Science.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L'échantillon à 4 facteurs simultanés reste trop faible (n=22) pour en tirer une conclusion fiable.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L'imputation par la médiane appliquée en S6 n'a pas été retestée spécifiquement cette semaine.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réponse de la piste Data Science n'était pas reçue au moment de la rédaction de ce rapport ; l'extension du §7 est une préparation à cette collaboration, pas un substitut au retest cross-track réel.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L'analyse des faux négatifs (Test 11) repose sur un seul modèle et un seul découpage ; à confirmer sur un échantillon plus large.</w:t>
      </w:r>
    </w:p>
    <w:p>
      <w:pPr>
        <w:pStyle w:val="Heading1"/>
        <w:spacing w:after="150" w:before="300"/>
      </w:pPr>
      <w:r>
        <w:t xml:space="preserve">10. Résumé du projet — Semaine 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Prévu : tester le risk_score dans un modèle simple, valider sa stabilité, corriger le camembert du dashboard, initier la collaboration cross-track avec Data Science.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Réalisé : 12 tests documentés, dont 7 sur le risk_score (reconstruction, modèle simple, stabilité, comparaison score vs facteurs séparés, validité par segment, importance relative des facteurs, continu vs binaire) et 5 en extension (comparaison d'algorithmes, encodage des variables, surapprentissage, analyse d'erreurs, fuite de données) ; camembert corrigé et vérifié dans Power BI Desktop ; message de collaboration envoyé à Data Science.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Résultat principal : le risk_score et les 4 facteurs séparés restent la base la plus fiable et la plus simple à ce stade ; la complexité supplémentaire testée (variables brutes, random forest) n'apporte pas de gain net et introduit un risque de surapprentissage.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Découverte notable : un sous-groupe de no-show échappe aux facteurs de risque actuels, malgré la réception d'un rappel — piste à approfondir avec Data Science et GenAI en Semaine 8.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Piste collaborée : Data Science, sur l'usage du risk_score comme variable prédictive et sur les résultats de l'extension du §7.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Limite principale restante : retour effectif de Data Science non reçu à ce stade.</w:t>
      </w:r>
    </w:p>
    <w:p>
      <w:pPr>
        <w:pStyle w:val="Heading1"/>
        <w:spacing w:after="150" w:before="300"/>
      </w:pPr>
      <w:r>
        <w:t xml:space="preserve">11. À faire avant la Semaine 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Recevoir et documenter la réponse de Data Science (retest cross-track réel, distinct de l'extension du §7).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Mettre à jour la section 6 avec le résultat effectif de la collaboration dès qu'il est disponible.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Approfondir avec Data Science/GenAI le sous-groupe de no-show sans facteur de risque identifié (Test 11).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91d0735755e3609f91ab81459cb603e5071e86.undefined"/><Relationship Id="rId8" Type="http://schemas.openxmlformats.org/officeDocument/2006/relationships/image" Target="media/38262c2fe92c26438088575b97eae4d828bf7e4a.undefined"/><Relationship Id="rId9" Type="http://schemas.openxmlformats.org/officeDocument/2006/relationships/image" Target="media/c67e9f9727b6ff1afc3454a03beb74e3368f4808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2026-09-19T13:48:13.299Z</dcterms:created>
  <dcterms:modified xsi:type="dcterms:W3CDTF">2026-09-19T13:48:13.307Z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