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EE414 — Numerical Methods Assignment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First-Order RL Circuit: Analytic Solution and Numerical ODE Solvers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06060"/>
          <w:sz w:val="20"/>
          <w:szCs w:val="20"/>
        </w:rPr>
        <w:t xml:space="preserve">Fortune Olose  ·  Student ID 21455956  ·  R = 4 MΩ, L = 580 µH</w:t>
      </w:r>
    </w:p>
    <w:p>
      <w:pPr>
        <w:pBdr>
          <w:bottom w:val="single" w:color="1F3864" w:sz="8" w:space="6"/>
        </w:pBdr>
        <w:spacing w:after="200" w:before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Q1 — Derivation of the ODE model for y = vR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step-excited series RL circuit supplies a 1 V source at t = 0. Applying Kirchhoff’s Voltage Law around the loop gives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1381125" cy="285750"/>
            <wp:effectExtent t="0" r="0" b="0" l="0"/>
            <wp:docPr id="1" name="kvl" descr="Equation kvl" title="kv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same current i flows through both elements, so v</w:t>
      </w:r>
      <w:r>
        <w:rPr>
          <w:rFonts w:ascii="Calibri" w:cs="Calibri" w:eastAsia="Calibri" w:hAnsi="Calibri"/>
          <w:sz w:val="22"/>
          <w:szCs w:val="22"/>
        </w:rPr>
        <w:t xml:space="preserve">R</w:t>
      </w:r>
      <w:r>
        <w:rPr>
          <w:rFonts w:ascii="Calibri" w:cs="Calibri" w:eastAsia="Calibri" w:hAnsi="Calibri"/>
          <w:sz w:val="22"/>
          <w:szCs w:val="22"/>
        </w:rPr>
        <w:t xml:space="preserve"> = iR and the resistor voltage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 = iR</w:t>
      </w:r>
      <w:r>
        <w:rPr>
          <w:rFonts w:ascii="Calibri" w:cs="Calibri" w:eastAsia="Calibri" w:hAnsi="Calibri"/>
          <w:sz w:val="22"/>
          <w:szCs w:val="22"/>
        </w:rPr>
        <w:t xml:space="preserve">. Rearranging gives i = y/R, which lets v</w:t>
      </w:r>
      <w:r>
        <w:rPr>
          <w:rFonts w:ascii="Calibri" w:cs="Calibri" w:eastAsia="Calibri" w:hAnsi="Calibri"/>
          <w:sz w:val="22"/>
          <w:szCs w:val="22"/>
        </w:rPr>
        <w:t xml:space="preserve">L</w:t>
      </w:r>
      <w:r>
        <w:rPr>
          <w:rFonts w:ascii="Calibri" w:cs="Calibri" w:eastAsia="Calibri" w:hAnsi="Calibri"/>
          <w:sz w:val="22"/>
          <w:szCs w:val="22"/>
        </w:rPr>
        <w:t xml:space="preserve"> be written in terms of y: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809875" cy="400050"/>
            <wp:effectExtent t="0" r="0" b="0" l="0"/>
            <wp:docPr id="1" name="currents" descr="Equation currents" title="curr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Substituting into KVL and dividing through by R: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3467100" cy="400050"/>
            <wp:effectExtent t="0" r="0" b="0" l="0"/>
            <wp:docPr id="1" name="ode_derivation" descr="Equation ode_derivation" title="ode_deri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is the required first-order linear ODE: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3181350" cy="600075"/>
            <wp:effectExtent t="0" r="0" b="0" l="0"/>
            <wp:docPr id="1" name="ode_boxed" descr="Equation ode_boxed" title="ode_bo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the assigned parameters R = 4 MΩ and L = 580 µH, the time constant is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324100" cy="400050"/>
            <wp:effectExtent t="0" r="0" b="0" l="0"/>
            <wp:docPr id="1" name="tau_value" descr="Equation tau_value" title="tau_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Time is expressed in picoseconds throughout the assignment, so τ = 145 (no trailing units inside the update formulas). The initial condition is y(0) = 0 because the inductor current — and hence vR — is zero immediately before the step.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Q2 — Analytic solution (elegant substitution)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initial-value problem is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1952625" cy="400050"/>
            <wp:effectExtent t="0" r="0" b="0" l="0"/>
            <wp:docPr id="1" name="ivp" descr="Equation ivp" title="iv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right-hand side depends only on the quantity (1 − y) — the deviation of y from its equilibrium value 1. It is therefore natural to track that deviation directly. Let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u(t) = 1 − y(t)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628900" cy="314325"/>
            <wp:effectExtent t="0" r="0" b="0" l="0"/>
            <wp:docPr id="1" name="sub_u" descr="Equation sub_u" title="sub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and the ODE becomes the canonical exponential-decay equation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914400" cy="371475"/>
            <wp:effectExtent t="0" r="0" b="0" l="0"/>
            <wp:docPr id="1" name="u_ode" descr="Equation u_ode" title="u_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whose general solution is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3352800" cy="342900"/>
            <wp:effectExtent t="0" r="0" b="0" l="0"/>
            <wp:docPr id="1" name="u_sol" descr="Equation u_sol" title="u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Back-substituting u = 1 − y gives the analytic solution: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3686175" cy="571500"/>
            <wp:effectExtent t="0" r="0" b="0" l="0"/>
            <wp:docPr id="1" name="y_boxed" descr="Equation y_boxed" title="y_bo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Verification. At t = 0, y(0) = 1 − 1 = 0 ✓. Differentiating, dy/dt = (1/τ) e^(−t/τ) = (1 − y)/τ ✓.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physical reading is clean: y relaxes from 0 toward the steady-state value 1 with a single time constant τ = 145 ps. At t = τ it has covered 1 − e⁻¹ ≈ 63.2% of the gap, and at 5τ more than 99.3% — the standard first-order RL step response.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substitution route sidesteps the logarithm integral that separation of variables would introduce: one change of variable reveals that the error from steady state is what actually obeys pure exponential decay, and the answer falls out by inspection.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Numerical solvers (Q3 – Q5)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three methods approximate the solution on the grid tᵢ = i·h for i = 0, 1, …, N where N·h = 240 ps. The right-hand side is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533650" cy="390525"/>
            <wp:effectExtent t="0" r="0" b="0" l="0"/>
            <wp:docPr id="1" name="f_def" descr="Equation f_def" title="f_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exact solution y(tᵢ) from Q2 is used to evaluate the truncation error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1800225" cy="314325"/>
            <wp:effectExtent t="0" r="0" b="0" l="0"/>
            <wp:docPr id="1" name="error_def" descr="Equation error_def" title="error_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the tables below, ŷ(tᵢ) is the numerical estimate, y(tᵢ) is the analytic value from Q2, and E</w:t>
      </w:r>
      <w:r>
        <w:rPr>
          <w:rFonts w:ascii="Calibri" w:cs="Calibri" w:eastAsia="Calibri" w:hAnsi="Calibri"/>
          <w:sz w:val="22"/>
          <w:szCs w:val="22"/>
        </w:rPr>
        <w:t xml:space="preserve">t</w:t>
      </w:r>
      <w:r>
        <w:rPr>
          <w:rFonts w:ascii="Calibri" w:cs="Calibri" w:eastAsia="Calibri" w:hAnsi="Calibri"/>
          <w:sz w:val="22"/>
          <w:szCs w:val="22"/>
        </w:rPr>
        <w:t xml:space="preserve"> is tabulated to two significant figures in scientific notation. All values ŷ and y are shown to five significant figures. The driver code (common to all three methods) is: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0"/>
      </w:tblGrid>
      <w:tr>
        <w:tc>
          <w:tcPr>
            <w:tcW w:type="dxa" w:w="14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% EE414 – Individual parameters: R = 4 MΩ, L = 580 µH  =&gt;  tau = 145 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R = 4e6; L = 580e-6;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tau = (L/R)*1e12;            % tau in picoseconds (= 145)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f       = @(t,y) (1 - y)/tau;   % ODE right-hand side (t in ps)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y_exact = @(t)    1 - exp(-t/tau);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t_end   = 240;                  % simulate from 0 to 240 ps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hVec    = [40, 20, 10];         % step sizes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Q3 — Euler’s method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Euler advances the solution using the slope at the start of each interval: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514600" cy="390525"/>
            <wp:effectExtent t="0" r="0" b="0" l="0"/>
            <wp:docPr id="1" name="euler_update" descr="Equation euler_update" title="euler_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It is the simplest explicit method but also the least accurate — global error is O(h). For this IVP the method always overshoots, because f decreases as y grows, so the start-of-interval slope over-estimates the mean slope across the step. The implementation is the single line inside the for-loop below.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0"/>
      </w:tblGrid>
      <w:tr>
        <w:tc>
          <w:tcPr>
            <w:tcW w:type="dxa" w:w="14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function [t,y] = euler(f, t0, y0, h, tEnd)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N = round((tEnd - t0)/h);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t = (t0:h:tEnd).';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y = zeros(N+1, 1);  y(1) = y0;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for i = 1:N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y(i+1) = y(i) + h*f(t(i), y(i));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end</w:t>
            </w:r>
          </w:p>
        </w:tc>
      </w:tr>
    </w:tbl>
    <w:p>
      <w:pPr>
        <w:keepNext/>
        <w:keepLines w:val="false"/>
        <w:spacing w:after="80" w:before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Results for h = 40, 20, 10 ps: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"/>
        <w:gridCol w:w="4760"/>
        <w:gridCol w:w="260"/>
        <w:gridCol w:w="4760"/>
      </w:tblGrid>
      <w:tr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40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0.27586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3.5×10⁻²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0.47562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5.2×10⁻²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0.62028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5.7×10⁻²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0.72503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5.7×10⁻²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0.80088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0.85581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4.7×10⁻²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20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0.13793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9.1×10⁻³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0.25684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1.6×10⁻²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0.35934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2.0×10⁻²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0.44771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2.4×10⁻²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0.52389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2.6×10⁻²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0.58956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2.7×10⁻²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0.64617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2.7×10⁻²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0.69497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2.7×10⁻²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0.73705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2.6×10⁻²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0.77332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2.5×10⁻²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0.80458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2.4×10⁻²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0.83154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2.3×10⁻²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10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0.06897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0.06664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2.3×10⁻³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0.13317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4.3×10⁻³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0.19296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0.18690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6.1×10⁻³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0.24861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7.5×10⁻³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0.30043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0.29166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8.8×10⁻³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0.34868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9.8×10⁻³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0.39360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0.38292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0.43542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0.47436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0.46243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0.51061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0.54436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0.53169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0.57578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0.60504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0.59203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0.63228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0.65764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0.64459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0.68125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170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0.70323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0.69038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0.72370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0.74275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0.73027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0.76049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0.77701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0.76502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0.79239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0.80671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0.79530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1.1×10⁻²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0.82004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1.1×10⁻²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Q4 — Heun’s method (classical RK2)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Heun’s method averages the slope at the start of the interval with the slope at a predicted end-point: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1171575" cy="314325"/>
            <wp:effectExtent t="0" r="0" b="0" l="0"/>
            <wp:docPr id="1" name="rk2_k1" descr="Equation rk2_k1" title="rk2_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105025" cy="314325"/>
            <wp:effectExtent t="0" r="0" b="0" l="0"/>
            <wp:docPr id="1" name="rk2_k2" descr="Equation rk2_k2" title="rk2_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514600" cy="447675"/>
            <wp:effectExtent t="0" r="0" b="0" l="0"/>
            <wp:docPr id="1" name="rk2_y" descr="Equation rk2_y" title="rk2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Two function evaluations per step, global error O(h²). For the RL step response the trapezoidal averaging cancels most of Euler’s systematic overshoot.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0"/>
      </w:tblGrid>
      <w:tr>
        <w:tc>
          <w:tcPr>
            <w:tcW w:type="dxa" w:w="14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function [t,y] = rk2(f, t0, y0, h, tEnd)   % Heun's method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N = round((tEnd - t0)/h);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t = (t0:h:tEnd).';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y = zeros(N+1, 1);  y(1) = y0;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for i = 1:N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k1 = f(t(i),       y(i));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k2 = f(t(i) + h,   y(i) + h*k1);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y(i+1) = y(i) + (h/2)*(k1 + k2);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end</w:t>
            </w:r>
          </w:p>
        </w:tc>
      </w:tr>
    </w:tbl>
    <w:p>
      <w:pPr>
        <w:keepNext/>
        <w:keepLines w:val="false"/>
        <w:spacing w:after="80" w:before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Results for h = 40, 20, 10 ps: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"/>
        <w:gridCol w:w="4760"/>
        <w:gridCol w:w="260"/>
        <w:gridCol w:w="4760"/>
      </w:tblGrid>
      <w:tr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40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0.23781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3.3×10⁻³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0.41907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5.0×10⁻³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0.55722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5.7×10⁻³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0.66252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5.8×10⁻³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0.74278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5.5×10⁻³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0.80395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5.0×10⁻³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20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0.12842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4.2×10⁻⁴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0.24035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7.4×10⁻⁴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0.33790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9.6×10⁻⁴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0.42293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0.49703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0.56162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0.61792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0.66698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0.70975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0.74702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0.77951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1.2×10⁻³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0.80783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1.1×10⁻³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10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0.06659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0.06664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5.4×10⁻⁵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0.12874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1.0×10⁻⁴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0.18676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0.18690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1.4×10⁻⁴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0.24091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1.7×10⁻⁴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0.29145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0.29166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2.0×10⁻⁴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0.33863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2.3×10⁻⁴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0.38267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0.38292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2.5×10⁻⁴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0.42378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2.7×10⁻⁴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0.46215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0.46243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2.8×10⁻⁴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0.49796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2.9×10⁻⁴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0.53139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0.53169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3.0×10⁻⁴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0.56259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3.0×10⁻⁴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0.59172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0.59203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3.1×10⁻⁴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0.61891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3.1×10⁻⁴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0.64428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0.64459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3.1×10⁻⁴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0.66797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3.1×10⁻⁴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170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0.69008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0.69038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3.0×10⁻⁴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0.71072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3.0×10⁻⁴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0.72998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0.73027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3.0×10⁻⁴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0.74796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2.9×10⁻⁴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0.76474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0.76502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2.8×10⁻⁴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0.78041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2.8×10⁻⁴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0.79503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0.79530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2.7×10⁻⁴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0.80868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2.6×10⁻⁴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Q5 — Classical fourth-order Runge–Kutta (RK4)</w:t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RK4 combines four carefully-weighted slope estimates per step:</w:t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1171575" cy="314325"/>
            <wp:effectExtent t="0" r="0" b="0" l="0"/>
            <wp:docPr id="1" name="rk4_k1" descr="Equation rk4_k1" title="rk4_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076450" cy="371475"/>
            <wp:effectExtent t="0" r="0" b="0" l="0"/>
            <wp:docPr id="1" name="rk4_k2" descr="Equation rk4_k2" title="rk4_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076450" cy="371475"/>
            <wp:effectExtent t="0" r="0" b="0" l="0"/>
            <wp:docPr id="1" name="rk4_k3" descr="Equation rk4_k3" title="rk4_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2105025" cy="314325"/>
            <wp:effectExtent t="0" r="0" b="0" l="0"/>
            <wp:docPr id="1" name="rk4_k4" descr="Equation rk4_k4" title="rk4_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40" w:lineRule="atLeast"/>
        <w:jc w:val="center"/>
      </w:pPr>
      <w:r>
        <w:drawing>
          <wp:inline distT="0" distB="0" distL="0" distR="0">
            <wp:extent cx="3762375" cy="447675"/>
            <wp:effectExtent t="0" r="0" b="0" l="0"/>
            <wp:docPr id="1" name="rk4_y" descr="Equation rk4_y" title="rk4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spacing w:after="80" w:before="8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Four function evaluations per step, global error O(h⁴). For this smooth, non-stiff IVP the error at h = 10 ps is already at the 10⁻⁸ level — below any meaningful modelling error from the resistor/inductor tolerances.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0"/>
      </w:tblGrid>
      <w:tr>
        <w:tc>
          <w:tcPr>
            <w:tcW w:type="dxa" w:w="14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function [t,y] = rk4(f, t0, y0, h, tEnd)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N = round((tEnd - t0)/h);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t = (t0:h:tEnd).';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y = zeros(N+1, 1);  y(1) = y0;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for i = 1:N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k1 = f(t(i),          y(i));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k2 = f(t(i) + h/2,    y(i) + h*k1/2);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k3 = f(t(i) + h/2,    y(i) + h*k2/2);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k4 = f(t(i) + h,      y(i) + h*k3);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    y(i+1) = y(i) + (h/6)*(k1 + 2*k2 + 2*k3 + k4);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    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222222"/>
                <w:sz w:val="19"/>
                <w:szCs w:val="19"/>
              </w:rPr>
              <w:t xml:space="preserve">end</w:t>
            </w:r>
          </w:p>
        </w:tc>
      </w:tr>
    </w:tbl>
    <w:p>
      <w:pPr>
        <w:keepNext/>
        <w:keepLines w:val="false"/>
        <w:spacing w:after="80" w:before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Results for h = 40, 20, 10 ps: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60"/>
        <w:gridCol w:w="4760"/>
        <w:gridCol w:w="260"/>
        <w:gridCol w:w="4760"/>
      </w:tblGrid>
      <w:tr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40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1.3×10⁻⁵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1.9×10⁻⁵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0.56287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2.2×10⁻⁵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2.2×10⁻⁵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2.1×10⁻⁵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1.9×10⁻⁵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20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4.1×10⁻⁷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7.1×10⁻⁷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9.3×10⁻⁷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1.2×10⁻⁶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1.1×10⁻⁶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1.1×10⁻⁶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 = 10 ps</w:t>
            </w:r>
          </w:p>
          <w:tbl>
            <w:tblPr>
              <w:tblW w:type="dxa" w:w="4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"/>
              <w:gridCol w:w="571"/>
              <w:gridCol w:w="1095"/>
              <w:gridCol w:w="1095"/>
              <w:gridCol w:w="1523"/>
            </w:tblGrid>
            <w:tr>
              <w:trPr>
                <w:tblHeader/>
              </w:trP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tᵢ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ŷ(tᵢ)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y(tᵢ)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2E559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Eₜ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0.00000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0.06664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0.06664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1.3×10⁻⁸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0.12884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2.4×10⁻⁸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0.18690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0.18690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3.4×10⁻⁸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0.24108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4.2×10⁻⁸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0.29166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0.29166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4.9×10⁻⁸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0.33886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5.5×10⁻⁸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0.38292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0.38292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5.9×10⁻⁸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0.42404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6.3×10⁻⁸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0.46243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0.46243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6.7×10⁻⁸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0.49825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6.9×10⁻⁸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0.53169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0.53169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7.1×10⁻⁸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0.56290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7.2×10⁻⁸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0.59203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0.59203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7.3×10⁻⁸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0.61921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7.3×10⁻⁸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0.64459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0.64459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7.3×10⁻⁸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160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0.66827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7.3×10⁻⁸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170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0.69038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0.69038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7.2×10⁻⁸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180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0.71101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7.2×10⁻⁸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190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0.73027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0.73027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7.1×10⁻⁸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0.74825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6.9×10⁻⁸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210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0.76502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0.76502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6.8×10⁻⁸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220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0.78068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6.6×10⁻⁸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0.79530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0.79530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2F5FA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6.5×10⁻⁸</w:t>
                  </w:r>
                </w:p>
              </w:tc>
            </w:tr>
            <w:tr>
              <w:tc>
                <w:tcPr>
                  <w:tcW w:type="dxa" w:w="476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571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240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095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0.80894</w:t>
                  </w:r>
                </w:p>
              </w:tc>
              <w:tc>
                <w:tcPr>
                  <w:tcW w:type="dxa" w:w="1523"/>
                  <w:tcBorders>
                    <w:top w:val="single" w:color="8096B8" w:sz="4"/>
                    <w:left w:val="single" w:color="8096B8" w:sz="4"/>
                    <w:bottom w:val="single" w:color="8096B8" w:sz="4"/>
                    <w:right w:val="single" w:color="8096B8" w:sz="4"/>
                  </w:tcBorders>
                  <w:shd w:fill="FFFFFF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1A1A1A"/>
                      <w:sz w:val="18"/>
                      <w:szCs w:val="18"/>
                    </w:rPr>
                    <w:t xml:space="preserve">6.3×10⁻⁸</w:t>
                  </w:r>
                </w:p>
              </w:tc>
            </w:tr>
          </w:tbl>
          <w:p/>
        </w:tc>
      </w:tr>
    </w:tbl>
    <w:sectPr>
      <w:footerReference w:type="default" r:id="rId8"/>
      <w:pgSz w:w="16838" w:h="11906" w:orient="landscape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EE414 — F. Olose (21455956) —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EE414 — F. Olose (21455956) —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e3ce5557d9db50b96a00cbfbb51f4ad64fe7bdd2.png"/><Relationship Id="rId10" Type="http://schemas.openxmlformats.org/officeDocument/2006/relationships/image" Target="media/f61f395e8e903e26fbd8ae868fee3dac8f7f82fe.png"/><Relationship Id="rId11" Type="http://schemas.openxmlformats.org/officeDocument/2006/relationships/image" Target="media/cfd7f0487c7371c2b0474a3b8a8f38686ec06bbf.png"/><Relationship Id="rId12" Type="http://schemas.openxmlformats.org/officeDocument/2006/relationships/image" Target="media/ecf81bbbf424aa84ce271136801cc19bfbc3c7e7.png"/><Relationship Id="rId13" Type="http://schemas.openxmlformats.org/officeDocument/2006/relationships/image" Target="media/82bddd2008bd0960e582b36ecaa997f6889fa0b5.png"/><Relationship Id="rId14" Type="http://schemas.openxmlformats.org/officeDocument/2006/relationships/image" Target="media/55fac50a3252b48654da0c31f54ee1aa62590592.png"/><Relationship Id="rId15" Type="http://schemas.openxmlformats.org/officeDocument/2006/relationships/image" Target="media/2c2b1adfe49c6a6df4c92956751becf0e1d17421.png"/><Relationship Id="rId16" Type="http://schemas.openxmlformats.org/officeDocument/2006/relationships/image" Target="media/665457339d514f6e9c3523aec5a630259c9d79d1.png"/><Relationship Id="rId17" Type="http://schemas.openxmlformats.org/officeDocument/2006/relationships/image" Target="media/15c830fde4440b2dfb39e9f87145818b3dff0919.png"/><Relationship Id="rId18" Type="http://schemas.openxmlformats.org/officeDocument/2006/relationships/image" Target="media/c53183f27e41a4e543a477db0aaa66cdc7e7e941.png"/><Relationship Id="rId19" Type="http://schemas.openxmlformats.org/officeDocument/2006/relationships/image" Target="media/829e946c11b05e0930c03a072efb50253b3e70cf.png"/><Relationship Id="rId20" Type="http://schemas.openxmlformats.org/officeDocument/2006/relationships/image" Target="media/6e494bdf3074b9124baed19e48147ec2963868d1.png"/><Relationship Id="rId21" Type="http://schemas.openxmlformats.org/officeDocument/2006/relationships/image" Target="media/c0449a68ecc555ab975a76e1b4d4a35e83d81501.png"/><Relationship Id="rId22" Type="http://schemas.openxmlformats.org/officeDocument/2006/relationships/image" Target="media/dc845f3802274796a8ed578e4cecf5200968a7a1.png"/><Relationship Id="rId23" Type="http://schemas.openxmlformats.org/officeDocument/2006/relationships/image" Target="media/eef7f5597076d0d236f1b10bbfc23c7d4a93ed64.png"/><Relationship Id="rId24" Type="http://schemas.openxmlformats.org/officeDocument/2006/relationships/image" Target="media/33a660508b4004da99a102f5f67e5a7885564c8e.png"/><Relationship Id="rId25" Type="http://schemas.openxmlformats.org/officeDocument/2006/relationships/image" Target="media/a76cf1cea671dac2a137e3f6acc4b023ee728209.png"/><Relationship Id="rId26" Type="http://schemas.openxmlformats.org/officeDocument/2006/relationships/image" Target="media/06957fe820c95b5d4f9930acbfcd5cde45c70ae5.png"/><Relationship Id="rId27" Type="http://schemas.openxmlformats.org/officeDocument/2006/relationships/image" Target="media/52df58e8bd26af5c86a8e87c6f9e00fda55a0bf4.png"/><Relationship Id="rId28" Type="http://schemas.openxmlformats.org/officeDocument/2006/relationships/image" Target="media/3e435abecb5025419e843dfe0d537b5f32426eee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EE414 Assignment — Q1–Q5</dc:title>
  <dc:creator>Fortune Olose</dc:creator>
  <cp:lastModifiedBy>Un-named</cp:lastModifiedBy>
  <cp:revision>1</cp:revision>
  <dcterms:created xsi:type="dcterms:W3CDTF">2026-04-20T13:51:22.455Z</dcterms:created>
  <dcterms:modified xsi:type="dcterms:W3CDTF">2026-04-20T13:51:22.456Z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