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tbl>
      <w:tblPr>
        <w:tblStyle w:val="9"/>
        <w:tblW w:w="9355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1"/>
        <w:gridCol w:w="1237"/>
        <w:gridCol w:w="599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tblHeader/>
        </w:trPr>
        <w:tc>
          <w:tcPr>
            <w:tcW w:w="93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jc w:val="center"/>
            </w:pPr>
            <w:r>
              <w:rPr>
                <w:rFonts w:hint="eastAsia"/>
                <w:sz w:val="28"/>
                <w:szCs w:val="28"/>
              </w:rPr>
              <w:t>证监会证券期货市场失信记录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2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234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http://shixin.csrc.gov.cn/honestypub/honestyObj/query.do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2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数据规模</w:t>
            </w:r>
          </w:p>
        </w:tc>
        <w:tc>
          <w:tcPr>
            <w:tcW w:w="12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存量数据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分别输入‘中国’、‘国际’以及32个省级行政单位名称进行搜素，对搜索到的列表和详细信息页面进行抓取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2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rPr>
                <w:lang w:eastAsia="zh-CN"/>
              </w:rPr>
            </w:pPr>
          </w:p>
        </w:tc>
        <w:tc>
          <w:tcPr>
            <w:tcW w:w="12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增量数据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2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更新频率</w:t>
            </w:r>
          </w:p>
        </w:tc>
        <w:tc>
          <w:tcPr>
            <w:tcW w:w="12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存量数据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2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2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增量数据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数据过期判定标准</w:t>
            </w:r>
          </w:p>
        </w:tc>
        <w:tc>
          <w:tcPr>
            <w:tcW w:w="723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增量数据识别方式</w:t>
            </w:r>
          </w:p>
        </w:tc>
        <w:tc>
          <w:tcPr>
            <w:tcW w:w="723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</w:pPr>
            <w:r>
              <w:rPr>
                <w:rFonts w:hint="eastAsia" w:ascii="Arial Unicode MS" w:hAnsi="Arial Unicode MS" w:eastAsia="Helvetica"/>
              </w:rPr>
              <w:t>全量更新判断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2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数据结构化程度（结构化、半结构化、非结构化）</w:t>
            </w:r>
          </w:p>
        </w:tc>
        <w:tc>
          <w:tcPr>
            <w:tcW w:w="723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</w:pPr>
            <w:r>
              <w:rPr>
                <w:rFonts w:hint="eastAsia" w:ascii="宋体" w:hAnsi="宋体" w:eastAsia="宋体" w:cs="宋体"/>
                <w:color w:val="FF2C21"/>
              </w:rPr>
              <w:t>非结构化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身份验证方式</w:t>
            </w:r>
          </w:p>
        </w:tc>
        <w:tc>
          <w:tcPr>
            <w:tcW w:w="723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</w:pPr>
            <w:r>
              <w:rPr>
                <w:rFonts w:hint="eastAsia" w:ascii="Arial Unicode MS" w:hAnsi="Arial Unicode MS" w:eastAsia="Helvetica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tblHeader/>
        </w:trPr>
        <w:tc>
          <w:tcPr>
            <w:tcW w:w="93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jc w:val="center"/>
            </w:pPr>
            <w:r>
              <w:rPr>
                <w:rFonts w:hint="eastAsia" w:eastAsia="Helvetica"/>
                <w:sz w:val="28"/>
                <w:szCs w:val="28"/>
              </w:rPr>
              <w:t>数据采集项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3358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rFonts w:hint="eastAsia"/>
                <w:b/>
                <w:bCs/>
                <w:sz w:val="24"/>
                <w:szCs w:val="24"/>
              </w:rPr>
              <w:t>信息项</w:t>
            </w:r>
          </w:p>
        </w:tc>
        <w:tc>
          <w:tcPr>
            <w:tcW w:w="599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jc w:val="center"/>
            </w:pPr>
            <w:r>
              <w:rPr>
                <w:rFonts w:hint="eastAsia" w:eastAsia="Helvetica"/>
                <w:b/>
                <w:bCs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35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企业名称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color w:val="333333"/>
                <w:sz w:val="20"/>
                <w:szCs w:val="20"/>
                <w:lang w:eastAsia="zh-CN"/>
              </w:rPr>
              <w:t>北京得利加自控技术有限公司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35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组织机构代码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color w:val="333333"/>
                <w:sz w:val="20"/>
                <w:szCs w:val="20"/>
              </w:rPr>
              <w:t>70012017-7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35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处罚处理时间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color w:val="333333"/>
                <w:sz w:val="20"/>
                <w:szCs w:val="20"/>
              </w:rPr>
              <w:t>2014/06/05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335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处罚处理机构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中国证监会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35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行政 处罚种类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12"/>
                <w:szCs w:val="12"/>
                <w:lang w:eastAsia="zh-CN"/>
              </w:rPr>
            </w:pP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行政处罚(责令改正),行政处罚(警告),行政处罚(罚款)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35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处罚内容详情</w:t>
            </w:r>
          </w:p>
        </w:tc>
        <w:tc>
          <w:tcPr>
            <w:tcW w:w="5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  <w:t>中国证券监督管理委员会四川监管局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  <w:t>行政处罚决定书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  <w:t>　　　　韩露，女，1970年10月出生，通灵通法定代表人、董事长，住址：北京市东城区竹杆胡同。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  <w:t>　　　　李曦微，女，1966年10月出生，上海秦砖监事，住址：北京市西城区西四北八条。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  <w:t>　　　和本条第三款的规定，通灵通与上海秦砖构成一致行动人，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  <w:t xml:space="preserve">................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  <w:t>　　　              中国证券监督管理委员会四川监管局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ˎ̥" w:hAnsi="ˎ̥" w:cs="Arial"/>
                <w:color w:val="000000"/>
                <w:sz w:val="21"/>
                <w:szCs w:val="21"/>
                <w:lang w:eastAsia="zh-CN"/>
              </w:rPr>
              <w:t>　　　                         2014年6月5日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wordWrap w:val="0"/>
              <w:spacing w:line="360" w:lineRule="auto"/>
              <w:ind w:firstLine="420"/>
              <w:jc w:val="both"/>
              <w:rPr>
                <w:rFonts w:hint="eastAsia" w:ascii="ˎ̥" w:hAnsi="ˎ̥" w:cs="Arial"/>
                <w:color w:val="000000"/>
                <w:sz w:val="12"/>
                <w:szCs w:val="12"/>
                <w:lang w:eastAsia="zh-CN"/>
              </w:rPr>
            </w:pPr>
            <w:r>
              <w:rPr>
                <w:rFonts w:hint="eastAsia" w:ascii="ˎ̥" w:hAnsi="ˎ̥" w:cs="Arial"/>
                <w:color w:val="000000"/>
                <w:sz w:val="12"/>
                <w:szCs w:val="12"/>
                <w:lang w:eastAsia="zh-CN"/>
              </w:rPr>
              <w:t>　　　</w:t>
            </w:r>
          </w:p>
        </w:tc>
      </w:tr>
    </w:tbl>
    <w:p>
      <w:pPr>
        <w:pStyle w:val="10"/>
      </w:pPr>
      <w:r>
        <w:rPr>
          <w:rFonts w:hint="eastAsia"/>
        </w:rPr>
        <w:drawing>
          <wp:inline distT="0" distB="0" distL="0" distR="0">
            <wp:extent cx="5743575" cy="3564890"/>
            <wp:effectExtent l="19050" t="0" r="9303" b="0"/>
            <wp:docPr id="9" name="图片 8" descr="QQ截图20170419151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QQ截图2017041915121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13" cy="35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</w:pPr>
    </w:p>
    <w:p>
      <w:pPr>
        <w:pStyle w:val="10"/>
      </w:pPr>
      <w:r>
        <w:pict>
          <v:rect id="_x0000_s1026" o:spid="_x0000_s1026" o:spt="1" style="position:absolute;left:0pt;margin-left:25.1pt;margin-top:65.65pt;height:166.65pt;width:372.55pt;z-index:251660288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rPr>
          <w:rFonts w:hint="eastAsia"/>
        </w:rPr>
        <w:drawing>
          <wp:inline distT="0" distB="0" distL="0" distR="0">
            <wp:extent cx="5943600" cy="3292475"/>
            <wp:effectExtent l="19050" t="0" r="0" b="0"/>
            <wp:docPr id="10" name="图片 9" descr="QQ截图20170419151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QQ截图20170419151227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</w:pPr>
    </w:p>
    <w:p>
      <w:pPr>
        <w:pStyle w:val="10"/>
      </w:pPr>
      <w:r>
        <w:pict>
          <v:rect id="_x0000_s1027" o:spid="_x0000_s1027" o:spt="1" style="position:absolute;left:0pt;margin-left:1.25pt;margin-top:52.35pt;height:195.9pt;width:428.65pt;z-index:25166131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drawing>
          <wp:inline distT="0" distB="0" distL="0" distR="0">
            <wp:extent cx="5274310" cy="2885440"/>
            <wp:effectExtent l="19050" t="0" r="2540" b="0"/>
            <wp:docPr id="11" name="图片 10" descr="QQ截图20170419151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QQ截图20170419151237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验收条件：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完整的代码（需要必要的注释）和sql语句 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爬取的数据保存到到数据库，数据库样式设计自定，但要注意在表名前t_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注意不要用Python自带的mysqldb，而是使用附件中的Python工具箱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使用工具包导入SQLAlchemy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要确保所编写程序的稳定性，调节合适的访问频率（注意网站的反爬取机制），以确保能够实现连续的爬取，程序不中断（</w:t>
      </w:r>
      <w:r>
        <w:rPr>
          <w:rFonts w:hint="eastAsia"/>
          <w:color w:val="0000FF"/>
          <w:lang w:val="en-US" w:eastAsia="zh-CN"/>
        </w:rPr>
        <w:t>重点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数据获取考核任务考核期为30天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语言选择：python（编译器推荐pycharm）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推荐入门学习材料：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极客学院Python初级课程：会员课程-知识体系图-Python课程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廖雪峰的博客：推荐看完函数部分即可，后面有选择的看。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百度：你要相信百度上的东西还是很全面的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推荐程序包：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Python推荐包：Selenium，Requests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395D"/>
    <w:rsid w:val="0037515C"/>
    <w:rsid w:val="00575C5F"/>
    <w:rsid w:val="00603EAB"/>
    <w:rsid w:val="006D395D"/>
    <w:rsid w:val="00736B2D"/>
    <w:rsid w:val="00790A50"/>
    <w:rsid w:val="008A1BAC"/>
    <w:rsid w:val="22C6794F"/>
    <w:rsid w:val="3CD45B26"/>
    <w:rsid w:val="5CCD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table" w:customStyle="1" w:styleId="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cs="Arial Unicode MS" w:eastAsiaTheme="minorEastAsia"/>
      <w:color w:val="000000"/>
      <w:kern w:val="0"/>
      <w:sz w:val="22"/>
      <w:szCs w:val="22"/>
      <w:lang w:val="en-US" w:eastAsia="zh-CN" w:bidi="ar-SA"/>
    </w:rPr>
  </w:style>
  <w:style w:type="paragraph" w:customStyle="1" w:styleId="11">
    <w:name w:val="Table Style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cs="Arial Unicode MS" w:eastAsiaTheme="minorEastAsia"/>
      <w:b/>
      <w:bCs/>
      <w:color w:val="000000"/>
      <w:kern w:val="0"/>
      <w:sz w:val="20"/>
      <w:szCs w:val="20"/>
      <w:lang w:val="en-US" w:eastAsia="zh-CN" w:bidi="ar-SA"/>
    </w:rPr>
  </w:style>
  <w:style w:type="paragraph" w:customStyle="1" w:styleId="12">
    <w:name w:val="Table Style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cs="Arial Unicode MS" w:eastAsiaTheme="minorEastAsia"/>
      <w:color w:val="000000"/>
      <w:kern w:val="0"/>
      <w:sz w:val="20"/>
      <w:szCs w:val="20"/>
      <w:lang w:val="en-US" w:eastAsia="zh-CN" w:bidi="ar-SA"/>
    </w:rPr>
  </w:style>
  <w:style w:type="character" w:customStyle="1" w:styleId="13">
    <w:name w:val="批注框文本 Char"/>
    <w:basedOn w:val="5"/>
    <w:link w:val="2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</Words>
  <Characters>518</Characters>
  <Lines>4</Lines>
  <Paragraphs>1</Paragraphs>
  <ScaleCrop>false</ScaleCrop>
  <LinksUpToDate>false</LinksUpToDate>
  <CharactersWithSpaces>607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2017-04-20T03:24:00Z</dcterms:created>
  <dc:creator>hp-</dc:creator>
  <cp:lastModifiedBy>dell</cp:lastModifiedBy>
  <dcterms:modified xsi:type="dcterms:W3CDTF">2017-05-25T03:26:18Z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