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2D221FB1" w:rsidR="00EC6696" w:rsidRDefault="00EC6696" w:rsidP="00EC6696">
      <w:pPr>
        <w:spacing w:line="276" w:lineRule="auto"/>
      </w:pPr>
    </w:p>
    <w:p w14:paraId="0FED328C" w14:textId="4AE44673" w:rsidR="00B008A6" w:rsidRDefault="00B008A6" w:rsidP="00EC6696">
      <w:pPr>
        <w:spacing w:line="276" w:lineRule="auto"/>
      </w:pPr>
    </w:p>
    <w:p w14:paraId="62647784" w14:textId="34C73842" w:rsidR="00B008A6" w:rsidRDefault="002B1122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6A6097C3">
                <wp:simplePos x="0" y="0"/>
                <wp:positionH relativeFrom="column">
                  <wp:posOffset>-386715</wp:posOffset>
                </wp:positionH>
                <wp:positionV relativeFrom="paragraph">
                  <wp:posOffset>219075</wp:posOffset>
                </wp:positionV>
                <wp:extent cx="6586855" cy="219456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2194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0E2FF723" w:rsidR="00494712" w:rsidRPr="00BE59C4" w:rsidRDefault="00E665EC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BE59C4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67496BD6" w:rsidR="00494712" w:rsidRPr="00A90E20" w:rsidRDefault="00A90E20" w:rsidP="00BE59C4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A90E20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Evaluación final transversal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0.45pt;margin-top:17.25pt;width:518.65pt;height:17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" filled="f" stroked="f">
                <v:textbox>
                  <w:txbxContent>
                    <w:p w14:paraId="4D527FE1" w14:textId="0E2FF723" w:rsidR="00494712" w:rsidRPr="00BE59C4" w:rsidRDefault="00E665EC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BE59C4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67496BD6" w:rsidR="00494712" w:rsidRPr="00A90E20" w:rsidRDefault="00A90E20" w:rsidP="00BE59C4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A90E20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Evaluación final transversal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8A6"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BA3C8" id="Rectángulo: esquinas redondeadas 1" o:spid="_x0000_s1026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 fillcolor="black [3213]" stroked="f" strokeweight="1pt">
                <v:stroke joinstyle="miter"/>
              </v:roundrect>
            </w:pict>
          </mc:Fallback>
        </mc:AlternateContent>
      </w:r>
    </w:p>
    <w:p w14:paraId="22B33E4D" w14:textId="5169CB3D" w:rsidR="00B008A6" w:rsidRDefault="00B008A6" w:rsidP="00EC6696">
      <w:pPr>
        <w:spacing w:line="276" w:lineRule="auto"/>
      </w:pPr>
    </w:p>
    <w:p w14:paraId="62A6D6FF" w14:textId="77777777" w:rsidR="00B008A6" w:rsidRDefault="00B008A6" w:rsidP="00EC6696">
      <w:pPr>
        <w:spacing w:line="276" w:lineRule="auto"/>
      </w:pPr>
    </w:p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7E0AE582" w14:textId="1F54A6C3" w:rsidR="003A1201" w:rsidRDefault="00CA415F" w:rsidP="003878BC">
      <w:pPr>
        <w:pStyle w:val="TtuloTDC"/>
        <w:rPr>
          <w:rFonts w:ascii="Noto Serif" w:hAnsi="Noto Serif" w:cs="Noto Serif"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A90E20" w:rsidRPr="00A90E20">
        <w:rPr>
          <w:rFonts w:ascii="Noto Serif" w:hAnsi="Noto Serif" w:cs="Noto Serif"/>
        </w:rPr>
        <w:t>Evaluación final transversal</w:t>
      </w:r>
    </w:p>
    <w:p w14:paraId="0313AB16" w14:textId="77777777" w:rsidR="003A1201" w:rsidRDefault="003A1201" w:rsidP="003A1201">
      <w:pPr>
        <w:rPr>
          <w:rFonts w:cstheme="minorHAnsi"/>
          <w:b/>
          <w:bCs/>
          <w:lang w:eastAsia="es-CL"/>
        </w:rPr>
      </w:pPr>
    </w:p>
    <w:p w14:paraId="48967152" w14:textId="77777777" w:rsidR="00BE59C4" w:rsidRDefault="00BE59C4" w:rsidP="00BE59C4"/>
    <w:tbl>
      <w:tblPr>
        <w:tblpPr w:leftFromText="141" w:rightFromText="141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BE59C4" w:rsidRPr="00B335E3" w14:paraId="49D16506" w14:textId="77777777" w:rsidTr="00E665EC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E8624A4" w14:textId="77777777" w:rsidR="00BE59C4" w:rsidRPr="00E665EC" w:rsidRDefault="00BE59C4" w:rsidP="0018727E">
            <w:pPr>
              <w:textAlignment w:val="baseline"/>
              <w:rPr>
                <w:rFonts w:eastAsia="Times New Roman" w:cstheme="minorHAnsi"/>
                <w:color w:val="FFFFFF" w:themeColor="background1"/>
                <w:lang w:eastAsia="es-CL"/>
              </w:rPr>
            </w:pPr>
            <w:r w:rsidRPr="00E665EC">
              <w:rPr>
                <w:rFonts w:eastAsia="Times New Roman" w:cstheme="minorHAnsi"/>
                <w:b/>
                <w:bCs/>
                <w:color w:val="FFFFFF" w:themeColor="background1"/>
                <w:lang w:eastAsia="es-CL"/>
              </w:rPr>
              <w:t>Sigla Asignatura</w:t>
            </w:r>
            <w:r w:rsidRPr="00E665EC">
              <w:rPr>
                <w:rFonts w:eastAsia="Times New Roman" w:cstheme="minorHAnsi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B3876DB" w14:textId="27119555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103469C8" w14:textId="77777777" w:rsidR="00BE59C4" w:rsidRPr="00E665EC" w:rsidRDefault="00BE59C4" w:rsidP="00E665EC">
            <w:pPr>
              <w:textAlignment w:val="baseline"/>
              <w:rPr>
                <w:rStyle w:val="normaltextrun"/>
                <w:rFonts w:ascii="Calibri" w:hAnsi="Calibri" w:cs="Calibri"/>
                <w:color w:val="FFFFFF" w:themeColor="background1"/>
              </w:rPr>
            </w:pPr>
            <w:r w:rsidRPr="00E665EC">
              <w:rPr>
                <w:rFonts w:eastAsia="Times New Roman" w:cstheme="minorHAnsi"/>
                <w:b/>
                <w:bCs/>
                <w:lang w:eastAsia="es-CL"/>
              </w:rPr>
              <w:t>Nombre Asignatura</w:t>
            </w:r>
            <w:r w:rsidRPr="00E665EC">
              <w:rPr>
                <w:rStyle w:val="normaltextrun"/>
                <w:rFonts w:ascii="Calibri" w:hAnsi="Calibri" w:cs="Calibri"/>
                <w:color w:val="FFFFFF" w:themeColor="background1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5CAD64D" w14:textId="76FC8DA7" w:rsidR="00BE59C4" w:rsidRPr="00E665EC" w:rsidRDefault="00E665EC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  <w:r w:rsidRPr="00E665EC"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</w:rPr>
              <w:t>Fundamentos de Antropología</w:t>
            </w:r>
          </w:p>
          <w:p w14:paraId="118C2E1A" w14:textId="77777777" w:rsidR="00BE59C4" w:rsidRPr="00E665EC" w:rsidRDefault="00BE59C4" w:rsidP="00E665EC">
            <w:pPr>
              <w:pStyle w:val="paragraph"/>
              <w:textAlignment w:val="baseline"/>
              <w:rPr>
                <w:rStyle w:val="normaltextrun"/>
                <w:rFonts w:ascii="Calibri" w:hAnsi="Calibri" w:cs="Calibri"/>
                <w:color w:val="000000"/>
              </w:rPr>
            </w:pPr>
          </w:p>
        </w:tc>
      </w:tr>
      <w:tr w:rsidR="00BE59C4" w:rsidRPr="00B335E3" w14:paraId="38B89AD8" w14:textId="77777777" w:rsidTr="0018727E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</w:tcPr>
          <w:p w14:paraId="6A0E3B1A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FFFFFF" w:themeColor="background1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Nombre de la evaluación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3EFE3421" w14:textId="572A723C" w:rsidR="00BE59C4" w:rsidRPr="00E665EC" w:rsidRDefault="00A90E20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 w:rsidRPr="00A90E20">
              <w:t>Evaluación final transversal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vAlign w:val="center"/>
          </w:tcPr>
          <w:p w14:paraId="3922AE1B" w14:textId="77777777" w:rsidR="00BE59C4" w:rsidRPr="00E665EC" w:rsidRDefault="00BE59C4" w:rsidP="0018727E">
            <w:pPr>
              <w:textAlignment w:val="baseline"/>
              <w:rPr>
                <w:rFonts w:eastAsia="Times New Roman"/>
                <w:b/>
                <w:bCs/>
                <w:color w:val="000000"/>
                <w:lang w:eastAsia="es-CL"/>
              </w:rPr>
            </w:pPr>
            <w:r w:rsidRPr="00E665EC">
              <w:rPr>
                <w:rFonts w:eastAsia="Times New Roman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27E0CAB" w14:textId="08C30A9E" w:rsidR="00BE59C4" w:rsidRPr="00E665EC" w:rsidRDefault="00A90E20" w:rsidP="0018727E">
            <w:pPr>
              <w:textAlignment w:val="baseline"/>
              <w:rPr>
                <w:rFonts w:eastAsia="Times New Roman"/>
                <w:color w:val="000000"/>
                <w:lang w:eastAsia="es-CL"/>
              </w:rPr>
            </w:pPr>
            <w:r>
              <w:rPr>
                <w:rFonts w:eastAsia="Times New Roman"/>
                <w:color w:val="000000"/>
                <w:lang w:eastAsia="es-CL"/>
              </w:rPr>
              <w:t>9</w:t>
            </w:r>
          </w:p>
        </w:tc>
      </w:tr>
    </w:tbl>
    <w:p w14:paraId="1D191615" w14:textId="77777777" w:rsidR="00BE59C4" w:rsidRDefault="00BE59C4" w:rsidP="00BE59C4"/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440"/>
        <w:gridCol w:w="1823"/>
        <w:gridCol w:w="2416"/>
        <w:gridCol w:w="2409"/>
        <w:gridCol w:w="2124"/>
        <w:gridCol w:w="1984"/>
        <w:gridCol w:w="2124"/>
      </w:tblGrid>
      <w:tr w:rsidR="00BE59C4" w14:paraId="1B76FAD2" w14:textId="77777777" w:rsidTr="00EE6BBF">
        <w:trPr>
          <w:trHeight w:val="743"/>
        </w:trPr>
        <w:tc>
          <w:tcPr>
            <w:tcW w:w="0" w:type="auto"/>
            <w:shd w:val="clear" w:color="auto" w:fill="262626" w:themeFill="text1" w:themeFillTint="D9"/>
          </w:tcPr>
          <w:p w14:paraId="6670E44A" w14:textId="77777777" w:rsidR="00BE59C4" w:rsidRDefault="00BE59C4" w:rsidP="0018727E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</w:p>
        </w:tc>
        <w:tc>
          <w:tcPr>
            <w:tcW w:w="1823" w:type="dxa"/>
            <w:shd w:val="clear" w:color="auto" w:fill="262626" w:themeFill="text1" w:themeFillTint="D9"/>
          </w:tcPr>
          <w:p w14:paraId="13F2E1B9" w14:textId="77777777" w:rsidR="00BE59C4" w:rsidRPr="00E95028" w:rsidRDefault="00BE59C4" w:rsidP="0018727E">
            <w:pPr>
              <w:rPr>
                <w:b/>
                <w:lang w:val="es-ES"/>
              </w:rPr>
            </w:pPr>
            <w:r w:rsidRPr="00E95028">
              <w:rPr>
                <w:b/>
                <w:lang w:val="es-ES"/>
              </w:rPr>
              <w:t>Descripción</w:t>
            </w:r>
          </w:p>
        </w:tc>
        <w:tc>
          <w:tcPr>
            <w:tcW w:w="2416" w:type="dxa"/>
            <w:shd w:val="clear" w:color="auto" w:fill="262626" w:themeFill="text1" w:themeFillTint="D9"/>
          </w:tcPr>
          <w:p w14:paraId="67CA2CD4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Completamente logrado</w:t>
            </w:r>
          </w:p>
          <w:p w14:paraId="5226AAD0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(1</w:t>
            </w:r>
            <w:r w:rsidRPr="008C286E">
              <w:rPr>
                <w:b/>
                <w:lang w:val="es-ES"/>
              </w:rPr>
              <w:t>00%)</w:t>
            </w:r>
          </w:p>
        </w:tc>
        <w:tc>
          <w:tcPr>
            <w:tcW w:w="2409" w:type="dxa"/>
            <w:shd w:val="clear" w:color="auto" w:fill="262626" w:themeFill="text1" w:themeFillTint="D9"/>
          </w:tcPr>
          <w:p w14:paraId="3073D9AF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Parcialmente logrado</w:t>
            </w:r>
          </w:p>
          <w:p w14:paraId="6772EC88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(80%)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3EE91511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Logrado</w:t>
            </w:r>
          </w:p>
          <w:p w14:paraId="0EDA0A1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(60%)</w:t>
            </w:r>
          </w:p>
        </w:tc>
        <w:tc>
          <w:tcPr>
            <w:tcW w:w="1984" w:type="dxa"/>
            <w:shd w:val="clear" w:color="auto" w:fill="262626" w:themeFill="text1" w:themeFillTint="D9"/>
          </w:tcPr>
          <w:p w14:paraId="5DC1D0D2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Medianamente logrado</w:t>
            </w:r>
          </w:p>
          <w:p w14:paraId="6F74F887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 w:rsidRPr="008C286E">
              <w:rPr>
                <w:b/>
                <w:lang w:val="es-ES"/>
              </w:rPr>
              <w:t>(30%)</w:t>
            </w:r>
          </w:p>
        </w:tc>
        <w:tc>
          <w:tcPr>
            <w:tcW w:w="2124" w:type="dxa"/>
            <w:shd w:val="clear" w:color="auto" w:fill="262626" w:themeFill="text1" w:themeFillTint="D9"/>
          </w:tcPr>
          <w:p w14:paraId="756F56FD" w14:textId="77777777" w:rsidR="00BE59C4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No Logrado</w:t>
            </w:r>
          </w:p>
          <w:p w14:paraId="4B69232B" w14:textId="77777777" w:rsidR="00BE59C4" w:rsidRPr="008C286E" w:rsidRDefault="00BE59C4" w:rsidP="0018727E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(0%)</w:t>
            </w:r>
          </w:p>
        </w:tc>
      </w:tr>
      <w:tr w:rsidR="00A90E20" w14:paraId="42D9A91F" w14:textId="77777777" w:rsidTr="00A90E20">
        <w:trPr>
          <w:trHeight w:val="3079"/>
        </w:trPr>
        <w:tc>
          <w:tcPr>
            <w:tcW w:w="0" w:type="auto"/>
            <w:vAlign w:val="center"/>
          </w:tcPr>
          <w:p w14:paraId="3E8107BB" w14:textId="77777777" w:rsidR="00A90E20" w:rsidRPr="00A67DF9" w:rsidRDefault="00A90E20" w:rsidP="00A90E20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1</w:t>
            </w:r>
          </w:p>
        </w:tc>
        <w:tc>
          <w:tcPr>
            <w:tcW w:w="1823" w:type="dxa"/>
          </w:tcPr>
          <w:p w14:paraId="04F2D597" w14:textId="77777777" w:rsidR="00A90E20" w:rsidRDefault="00A90E20" w:rsidP="00A90E20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CL"/>
              </w:rPr>
              <w:t>Analiza cómo los talleres permiten el desarrollo del mundo interior en el caso.</w:t>
            </w:r>
          </w:p>
          <w:p w14:paraId="43C8083F" w14:textId="72F8A43F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(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 xml:space="preserve">Valor 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35 puntos)</w:t>
            </w:r>
          </w:p>
          <w:p w14:paraId="6BF11EB8" w14:textId="77777777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</w:p>
          <w:p w14:paraId="1846833A" w14:textId="5FB87E09" w:rsidR="00A90E20" w:rsidRPr="00A90E20" w:rsidRDefault="00A90E20" w:rsidP="00A90E20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</w:p>
        </w:tc>
        <w:tc>
          <w:tcPr>
            <w:tcW w:w="2416" w:type="dxa"/>
          </w:tcPr>
          <w:p w14:paraId="79D2FB87" w14:textId="75E60578" w:rsidR="00A90E20" w:rsidRPr="00A90E20" w:rsidRDefault="00A90E20" w:rsidP="00A90E20">
            <w:pPr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Explica cómo estos talleres permiten desarrollar el mundo interior de estos jóvenes, fundamentando su respuesta a partir de la relación entre cuerpo, alma, inteligencia y dignidad desde una antropología clásica.</w:t>
            </w:r>
          </w:p>
        </w:tc>
        <w:tc>
          <w:tcPr>
            <w:tcW w:w="2409" w:type="dxa"/>
          </w:tcPr>
          <w:p w14:paraId="2E0869CC" w14:textId="746D58EA" w:rsidR="00A90E20" w:rsidRPr="00A90E20" w:rsidRDefault="00A90E20" w:rsidP="00A90E20">
            <w:pPr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Explica cómo estos talleres permiten desarrollar el mundo interior de estos jóvenes, fundamentando su respuesta a partir de la relación entre tres de los conceptos solicitados desde una antropología clásica. </w:t>
            </w:r>
          </w:p>
        </w:tc>
        <w:tc>
          <w:tcPr>
            <w:tcW w:w="2124" w:type="dxa"/>
          </w:tcPr>
          <w:p w14:paraId="13CF856A" w14:textId="146CC562" w:rsidR="00A90E20" w:rsidRPr="00A90E20" w:rsidRDefault="00A90E20" w:rsidP="00A90E20">
            <w:pPr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Explica cómo estos talleres permiten desarrollar el mundo interior de estos jóvenes, fundamentando su respuesta a partir de la relación entre dos de los conceptos solicitados desde una antropología clásica. </w:t>
            </w:r>
          </w:p>
        </w:tc>
        <w:tc>
          <w:tcPr>
            <w:tcW w:w="1984" w:type="dxa"/>
          </w:tcPr>
          <w:p w14:paraId="1B3DDFDE" w14:textId="2BDCEC96" w:rsidR="00A90E20" w:rsidRPr="00A90E20" w:rsidRDefault="00A90E20" w:rsidP="00A90E20">
            <w:pPr>
              <w:rPr>
                <w:rFonts w:eastAsia="Calibri"/>
                <w:color w:val="000000" w:themeColor="text1"/>
                <w:sz w:val="20"/>
                <w:szCs w:val="20"/>
                <w:lang w:val="es-ES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Explica cómo estos talleres permiten desarrollar el mundo interior de estos jóvenes, sin embargo, solo explica un concepto de los solicitados desde una antropología clásica. </w:t>
            </w:r>
          </w:p>
        </w:tc>
        <w:tc>
          <w:tcPr>
            <w:tcW w:w="2124" w:type="dxa"/>
          </w:tcPr>
          <w:p w14:paraId="2FC20F82" w14:textId="556D01DE" w:rsidR="00A90E20" w:rsidRPr="00A90E20" w:rsidRDefault="00A90E20" w:rsidP="00A90E20">
            <w:pPr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Explica cómo estos talleres permiten desarrollar el mundo interior de estos jóvenes, sin embargo, no fundamenta desde una antropología clásica.  </w:t>
            </w:r>
          </w:p>
        </w:tc>
      </w:tr>
      <w:tr w:rsidR="00A90E20" w14:paraId="46AB80C7" w14:textId="77777777" w:rsidTr="00A90E20">
        <w:trPr>
          <w:trHeight w:val="703"/>
        </w:trPr>
        <w:tc>
          <w:tcPr>
            <w:tcW w:w="0" w:type="auto"/>
            <w:vAlign w:val="center"/>
          </w:tcPr>
          <w:p w14:paraId="3339DB43" w14:textId="77777777" w:rsidR="00A90E20" w:rsidRPr="00A67DF9" w:rsidRDefault="00A90E20" w:rsidP="00A90E20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t>2</w:t>
            </w:r>
          </w:p>
        </w:tc>
        <w:tc>
          <w:tcPr>
            <w:tcW w:w="1823" w:type="dxa"/>
          </w:tcPr>
          <w:p w14:paraId="75AF5EB0" w14:textId="77777777" w:rsidR="00A90E20" w:rsidRDefault="00A90E20" w:rsidP="00A90E20">
            <w:pPr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Explica las </w:t>
            </w:r>
            <w:r w:rsidRPr="00A90E20">
              <w:rPr>
                <w:rStyle w:val="normaltextrun"/>
                <w:rFonts w:ascii="Calibri" w:hAnsi="Calibri" w:cs="Calibri"/>
                <w:color w:val="000000"/>
                <w:sz w:val="20"/>
                <w:szCs w:val="20"/>
                <w:shd w:val="clear" w:color="auto" w:fill="FFFFFF"/>
              </w:rPr>
              <w:t xml:space="preserve">características de la libertad, por medio de un ejemplo contextualizado en su profesión. </w:t>
            </w:r>
          </w:p>
          <w:p w14:paraId="44C4082E" w14:textId="47C1ED09" w:rsidR="00A90E20" w:rsidRPr="00A90E20" w:rsidRDefault="00A90E20" w:rsidP="00A90E20">
            <w:pPr>
              <w:rPr>
                <w:b/>
                <w:bCs/>
                <w:sz w:val="20"/>
                <w:szCs w:val="20"/>
                <w:lang w:val="es-ES"/>
              </w:rPr>
            </w:pP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(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 xml:space="preserve">Valor 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35 puntos)</w:t>
            </w:r>
          </w:p>
        </w:tc>
        <w:tc>
          <w:tcPr>
            <w:tcW w:w="2416" w:type="dxa"/>
          </w:tcPr>
          <w:p w14:paraId="4F626ED7" w14:textId="22DA4BB7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Da un ejemplo que refleje una contribución al bien común en su futura profesión, describiendo en ese ejemplo las tres dimensiones de la libertad desde la antropología clásica. </w:t>
            </w:r>
          </w:p>
          <w:p w14:paraId="1200621E" w14:textId="55C05AA6" w:rsidR="00A90E20" w:rsidRPr="00A90E20" w:rsidRDefault="00A90E20" w:rsidP="00A90E20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09" w:type="dxa"/>
          </w:tcPr>
          <w:p w14:paraId="0E431476" w14:textId="63D07FC5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Da un ejemplo que refleje una contribución al bien común en su futura profesión, describiendo en ese ejemplo las dos dimensiones de la libertad desde la antropología clásica.  </w:t>
            </w:r>
          </w:p>
          <w:p w14:paraId="33C0DC8F" w14:textId="27591D73" w:rsidR="00A90E20" w:rsidRPr="00A90E20" w:rsidRDefault="00A90E20" w:rsidP="00A90E20">
            <w:pPr>
              <w:rPr>
                <w:sz w:val="20"/>
                <w:szCs w:val="20"/>
                <w:lang w:val="es-ES"/>
              </w:rPr>
            </w:pPr>
          </w:p>
        </w:tc>
        <w:tc>
          <w:tcPr>
            <w:tcW w:w="2124" w:type="dxa"/>
          </w:tcPr>
          <w:p w14:paraId="3E74AAFD" w14:textId="53170A2C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Da un ejemplo que refleje una contribución al bien común en su futura profesión, describiendo en ese ejemplo una dimensión de la </w:t>
            </w: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>libertad desde la antropología clásica.</w:t>
            </w:r>
          </w:p>
          <w:p w14:paraId="08DA349E" w14:textId="3EAAC3E8" w:rsidR="00A90E20" w:rsidRPr="00A90E20" w:rsidRDefault="00A90E20" w:rsidP="00A90E20">
            <w:pPr>
              <w:rPr>
                <w:rFonts w:eastAsiaTheme="minorEastAsia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6213CA2" w14:textId="1CD087A0" w:rsidR="00A90E20" w:rsidRPr="00A90E20" w:rsidRDefault="00A90E20" w:rsidP="00A90E20">
            <w:pPr>
              <w:rPr>
                <w:rFonts w:eastAsiaTheme="minorEastAsia"/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Da un ejemplo que refleje una contribución al bien común en su futura profesión, sin embargo, explica algunas dimensiones de la libertad desde </w:t>
            </w: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la antropología clásica, sin aplicarlas al ejemplo.  </w:t>
            </w:r>
          </w:p>
        </w:tc>
        <w:tc>
          <w:tcPr>
            <w:tcW w:w="2124" w:type="dxa"/>
          </w:tcPr>
          <w:p w14:paraId="341FE546" w14:textId="35EE2CDA" w:rsidR="00A90E20" w:rsidRPr="00A90E20" w:rsidRDefault="00A90E20" w:rsidP="00A90E20">
            <w:pPr>
              <w:rPr>
                <w:rFonts w:eastAsiaTheme="minorEastAsia"/>
                <w:sz w:val="20"/>
                <w:szCs w:val="20"/>
                <w:lang w:val="es-ES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Da un ejemplo que refleje una contribución al bien común, sin embargo, no contextualiza en su futura profesión y/o la descripción de las características de la </w:t>
            </w: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lastRenderedPageBreak/>
              <w:t xml:space="preserve">libertad no es desde una antropología clásica. </w:t>
            </w:r>
          </w:p>
        </w:tc>
      </w:tr>
      <w:tr w:rsidR="00A90E20" w14:paraId="2B6050E7" w14:textId="77777777" w:rsidTr="00A90E20">
        <w:trPr>
          <w:trHeight w:val="2108"/>
        </w:trPr>
        <w:tc>
          <w:tcPr>
            <w:tcW w:w="0" w:type="auto"/>
            <w:vAlign w:val="center"/>
          </w:tcPr>
          <w:p w14:paraId="3C781DAC" w14:textId="77777777" w:rsidR="00A90E20" w:rsidRPr="00A67DF9" w:rsidRDefault="00A90E20" w:rsidP="00A90E20">
            <w:pPr>
              <w:jc w:val="center"/>
              <w:rPr>
                <w:lang w:val="es-ES"/>
              </w:rPr>
            </w:pPr>
            <w:r w:rsidRPr="00A67DF9">
              <w:rPr>
                <w:lang w:val="es-ES"/>
              </w:rPr>
              <w:lastRenderedPageBreak/>
              <w:t>3</w:t>
            </w:r>
          </w:p>
        </w:tc>
        <w:tc>
          <w:tcPr>
            <w:tcW w:w="1823" w:type="dxa"/>
          </w:tcPr>
          <w:p w14:paraId="4A16C8AC" w14:textId="775A64CC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Relaciona las virtudes con la formación del carácter y con el ejercicio de la libertad en el caso </w:t>
            </w:r>
            <w:proofErr w:type="gramStart"/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de acuerdo a</w:t>
            </w:r>
            <w:proofErr w:type="gramEnd"/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 la felicidad humana. 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(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 xml:space="preserve">Valor </w:t>
            </w:r>
            <w:r w:rsidRPr="00A90E20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CL"/>
              </w:rPr>
              <w:t>30 puntos)</w:t>
            </w:r>
          </w:p>
          <w:p w14:paraId="671D506A" w14:textId="77777777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  <w:p w14:paraId="6AA2DBDB" w14:textId="77777777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</w:p>
          <w:p w14:paraId="627E3121" w14:textId="21241DAE" w:rsidR="00A90E20" w:rsidRPr="00A90E20" w:rsidRDefault="00A90E20" w:rsidP="00A90E20">
            <w:pPr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CL"/>
              </w:rPr>
            </w:pPr>
          </w:p>
        </w:tc>
        <w:tc>
          <w:tcPr>
            <w:tcW w:w="2416" w:type="dxa"/>
          </w:tcPr>
          <w:p w14:paraId="250C3769" w14:textId="61D9E8DC" w:rsidR="00A90E20" w:rsidRPr="00A90E20" w:rsidRDefault="00A90E20" w:rsidP="00A90E20">
            <w:pPr>
              <w:widowControl w:val="0"/>
              <w:rPr>
                <w:sz w:val="20"/>
                <w:szCs w:val="20"/>
                <w:lang w:val="es-ES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Reconoce un ejemplo de fortaleza y un ejemplo de templanza en el actuar de los participantes del taller, explicando cómo el ejercicio de estas dos virtudes favorece el desarrollo de la plenitud de estos jóvenes. </w:t>
            </w:r>
          </w:p>
        </w:tc>
        <w:tc>
          <w:tcPr>
            <w:tcW w:w="2409" w:type="dxa"/>
          </w:tcPr>
          <w:p w14:paraId="60B683A5" w14:textId="7FC71869" w:rsidR="00A90E20" w:rsidRPr="00A90E20" w:rsidRDefault="00A90E20" w:rsidP="00A90E20">
            <w:pPr>
              <w:widowControl w:val="0"/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Reconoce un ejemplo de fortaleza y un ejemplo de templanza en el actuar de los participantes del taller, explicando cómo el ejercicio de una de estas virtudes favorece el desarrollo de la plenitud de estos jóvenes. </w:t>
            </w:r>
          </w:p>
        </w:tc>
        <w:tc>
          <w:tcPr>
            <w:tcW w:w="2124" w:type="dxa"/>
          </w:tcPr>
          <w:p w14:paraId="54E53C3D" w14:textId="140061D8" w:rsidR="00A90E20" w:rsidRPr="00A90E20" w:rsidRDefault="00A90E20" w:rsidP="00A90E20">
            <w:pPr>
              <w:widowControl w:val="0"/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Reconoce un ejemplo de fortaleza y un ejemplo de templanza en el actuar de los participantes del taller, explicando cómo el ejercicio de estas virtudes favorece el desarrollo de la plenitud sin contextualizar en el caso.</w:t>
            </w:r>
          </w:p>
        </w:tc>
        <w:tc>
          <w:tcPr>
            <w:tcW w:w="1984" w:type="dxa"/>
          </w:tcPr>
          <w:p w14:paraId="5FE7309F" w14:textId="77777777" w:rsidR="00A90E20" w:rsidRPr="00A90E20" w:rsidRDefault="00A90E20" w:rsidP="00A90E20">
            <w:pPr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 xml:space="preserve">Reconoce un ejemplo de la fortaleza o la templanza, y/o sin explicar cómo el ejercicio de las virtudes permite el desarrollo de la plenitud. </w:t>
            </w:r>
          </w:p>
          <w:p w14:paraId="7944CE31" w14:textId="75873AC9" w:rsidR="00A90E20" w:rsidRPr="00A90E20" w:rsidRDefault="00A90E20" w:rsidP="00A90E20">
            <w:pPr>
              <w:rPr>
                <w:sz w:val="20"/>
                <w:szCs w:val="20"/>
              </w:rPr>
            </w:pPr>
          </w:p>
        </w:tc>
        <w:tc>
          <w:tcPr>
            <w:tcW w:w="2124" w:type="dxa"/>
          </w:tcPr>
          <w:p w14:paraId="5FA72C6E" w14:textId="3607D860" w:rsidR="00A90E20" w:rsidRPr="00A90E20" w:rsidRDefault="00A90E20" w:rsidP="00A90E20">
            <w:pPr>
              <w:rPr>
                <w:sz w:val="20"/>
                <w:szCs w:val="20"/>
              </w:rPr>
            </w:pPr>
            <w:r w:rsidRPr="00A90E20">
              <w:rPr>
                <w:rFonts w:ascii="Calibri" w:eastAsia="Times New Roman" w:hAnsi="Calibri" w:cs="Calibri"/>
                <w:sz w:val="20"/>
                <w:szCs w:val="20"/>
                <w:lang w:eastAsia="es-CL"/>
              </w:rPr>
              <w:t>Los ejemplos no reflejan la fortaleza y templanza en el actuar de los jóvenes, y /o no explica cómo el ejercicio de estas virtudes favorece el desarrollo de la plenitud.</w:t>
            </w:r>
          </w:p>
        </w:tc>
      </w:tr>
    </w:tbl>
    <w:p w14:paraId="090B61D7" w14:textId="77777777" w:rsidR="004C405D" w:rsidRDefault="004C405D" w:rsidP="004C405D"/>
    <w:p w14:paraId="6318DB96" w14:textId="77777777" w:rsidR="004C405D" w:rsidRDefault="004C405D" w:rsidP="004C405D"/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>
              <w:pict>
                <v:line w14:anchorId="7FE5475C" id="Conector recto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05pt,.5pt" to="429.0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 strokecolor="#00b0f0" strokeweight="1.5pt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32AF0676" id="Conector recto 3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1.35pt,.5pt" to="651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 strokecolor="#00b0f0" strokeweight="1.5pt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>
              <w:pict>
                <v:line w14:anchorId="05B2C136" id="Conector recto 16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35pt,.1pt" to="650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 strokecolor="#00b0f0" strokeweight="1.5pt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4B077420" w:rsidR="00494712" w:rsidRDefault="00494712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86D65C" wp14:editId="564AC3F5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301A4" w14:textId="03410E7F" w:rsidR="00494712" w:rsidRPr="00C54D1A" w:rsidRDefault="00B008A6" w:rsidP="00B008A6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="00494712"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Formato de respuestas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94712" w:rsidRPr="0002696B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14:paraId="6FE36001" w14:textId="520B9AEB" w:rsidR="00494712" w:rsidRPr="00C54D1A" w:rsidRDefault="00494712" w:rsidP="00C54D1A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786D65C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0" o:spid="_x0000_s1027" type="#_x0000_t202" style="position:absolute;left:0;text-align:left;margin-left:115.45pt;margin-top:-9.4pt;width:262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 fillcolor="white [3201]" stroked="f" strokeweight=".5pt">
                  <v:textbox>
                    <w:txbxContent>
                      <w:p w14:paraId="224301A4" w14:textId="03410E7F" w:rsidR="00494712" w:rsidRPr="00C54D1A" w:rsidRDefault="00B008A6" w:rsidP="00B008A6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="00494712"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Formato de respuestas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  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="00494712" w:rsidRPr="0002696B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14:paraId="6FE36001" w14:textId="520B9AEB" w:rsidR="00494712" w:rsidRPr="00C54D1A" w:rsidRDefault="00494712" w:rsidP="00C54D1A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0D4C7958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7BB7B9" id="Rectángulo 5" o:spid="_x0000_s1028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14:paraId="214402A9" w14:textId="0AF850B2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223471" w:rsidRPr="00223471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00EA46" id="Rectángulo 32" o:spid="_x0000_s1029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14:paraId="2A1A29B1" w14:textId="29E23053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A90E20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C5BEDD9" id="Rectángulo 159" o:spid="_x0000_s1030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14:paraId="6D6486EA" w14:textId="133A7468" w:rsidR="00494712" w:rsidRDefault="00494712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eastAsiaTheme="minorEastAsia" w:cs="Times New Roman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="00611EB9" w:rsidRPr="00611EB9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eastAsiaTheme="majorEastAsia" w:hAnsiTheme="majorHAnsi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405D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5DE6"/>
    <w:rsid w:val="005375B7"/>
    <w:rsid w:val="0054616B"/>
    <w:rsid w:val="005464FD"/>
    <w:rsid w:val="00546BC0"/>
    <w:rsid w:val="00554ED7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0263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492B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0E20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59C4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65EC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BBF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Props1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997D0C5-CF95-4E48-BB33-6D7C5E72E20B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2</cp:revision>
  <cp:lastPrinted>2022-01-26T01:44:00Z</cp:lastPrinted>
  <dcterms:created xsi:type="dcterms:W3CDTF">2023-02-24T15:30:00Z</dcterms:created>
  <dcterms:modified xsi:type="dcterms:W3CDTF">2023-02-24T15:30:00Z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