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F0AA" w14:textId="77777777" w:rsidR="001F49C3" w:rsidRPr="00FB60DD" w:rsidRDefault="001F49C3" w:rsidP="001F49C3">
      <w:pPr>
        <w:pStyle w:val="EndNoteBibliography"/>
        <w:rPr>
          <w:noProof/>
        </w:rPr>
      </w:pPr>
      <w:r w:rsidRPr="007A14C4">
        <w:rPr>
          <w:rStyle w:val="None"/>
          <w:rFonts w:ascii="Arial" w:eastAsia="Calibri" w:hAnsi="Arial" w:cs="Arial"/>
          <w:sz w:val="22"/>
        </w:rPr>
        <w:fldChar w:fldCharType="begin"/>
      </w:r>
      <w:r w:rsidRPr="007A14C4">
        <w:rPr>
          <w:rStyle w:val="None"/>
          <w:rFonts w:ascii="Calibri" w:eastAsia="Calibri" w:hAnsi="Calibri" w:cs="Calibri"/>
          <w:szCs w:val="24"/>
        </w:rPr>
        <w:instrText xml:space="preserve"> ADDIN EN.REFLIST </w:instrText>
      </w:r>
      <w:r w:rsidRPr="007A14C4">
        <w:rPr>
          <w:rStyle w:val="None"/>
          <w:rFonts w:ascii="Arial" w:eastAsia="Calibri" w:hAnsi="Arial" w:cs="Arial"/>
          <w:sz w:val="22"/>
        </w:rPr>
        <w:fldChar w:fldCharType="separate"/>
      </w:r>
      <w:r w:rsidRPr="00FB60DD">
        <w:rPr>
          <w:noProof/>
        </w:rPr>
        <w:t>1.</w:t>
      </w:r>
      <w:r w:rsidRPr="00FB60DD">
        <w:rPr>
          <w:noProof/>
        </w:rPr>
        <w:tab/>
        <w:t xml:space="preserve">Atwal PS, Scaglia F. Molybdenum cofactor deficiency. </w:t>
      </w:r>
      <w:r w:rsidRPr="00FB60DD">
        <w:rPr>
          <w:i/>
          <w:noProof/>
        </w:rPr>
        <w:t>Mol Genet Metab</w:t>
      </w:r>
      <w:r w:rsidRPr="00FB60DD">
        <w:rPr>
          <w:noProof/>
        </w:rPr>
        <w:t>. Jan 2016;117(1):1–4. doi:10.1016/j.ymgme.2015.11.010</w:t>
      </w:r>
    </w:p>
    <w:p w14:paraId="7D2BB1F9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2.</w:t>
      </w:r>
      <w:r w:rsidRPr="00FB60DD">
        <w:rPr>
          <w:noProof/>
        </w:rPr>
        <w:tab/>
        <w:t xml:space="preserve">Vasudevan C, Levene M. Epidemiology and aetiology of neonatal seizures. </w:t>
      </w:r>
      <w:r w:rsidRPr="00FB60DD">
        <w:rPr>
          <w:i/>
          <w:noProof/>
        </w:rPr>
        <w:t>Semin Fetal Neonatal Med</w:t>
      </w:r>
      <w:r w:rsidRPr="00FB60DD">
        <w:rPr>
          <w:noProof/>
        </w:rPr>
        <w:t>. Aug 2013;18(4):185–91. doi:10.1016/j.siny.2013.05.008</w:t>
      </w:r>
    </w:p>
    <w:p w14:paraId="1057A634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3.</w:t>
      </w:r>
      <w:r w:rsidRPr="00FB60DD">
        <w:rPr>
          <w:noProof/>
        </w:rPr>
        <w:tab/>
        <w:t xml:space="preserve">Shetty J. Neonatal seizures in hypoxic-ischaemic encephalopathy--risks and benefits of anticonvulsant therapy. </w:t>
      </w:r>
      <w:r w:rsidRPr="00FB60DD">
        <w:rPr>
          <w:i/>
          <w:noProof/>
        </w:rPr>
        <w:t>Dev Med Child Neurol</w:t>
      </w:r>
      <w:r w:rsidRPr="00FB60DD">
        <w:rPr>
          <w:noProof/>
        </w:rPr>
        <w:t>. Apr 2015;57 Suppl 3:40–3. doi:10.1111/dmcn.12724</w:t>
      </w:r>
    </w:p>
    <w:p w14:paraId="0D8FDF67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4.</w:t>
      </w:r>
      <w:r w:rsidRPr="00FB60DD">
        <w:rPr>
          <w:noProof/>
        </w:rPr>
        <w:tab/>
        <w:t xml:space="preserve">Ficicioglu C, Bearden D. Isolated neonatal seizures: when to suspect inborn errors of metabolism. </w:t>
      </w:r>
      <w:r w:rsidRPr="00FB60DD">
        <w:rPr>
          <w:i/>
          <w:noProof/>
        </w:rPr>
        <w:t>Pediatr Neurol</w:t>
      </w:r>
      <w:r w:rsidRPr="00FB60DD">
        <w:rPr>
          <w:noProof/>
        </w:rPr>
        <w:t>. Nov 2011;45(5):283–91. doi:10.1016/j.pediatrneurol.2011.07.006</w:t>
      </w:r>
    </w:p>
    <w:p w14:paraId="637A22F8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5.</w:t>
      </w:r>
      <w:r w:rsidRPr="00FB60DD">
        <w:rPr>
          <w:noProof/>
        </w:rPr>
        <w:tab/>
        <w:t xml:space="preserve">Johannes L, Fu CY, Schwarz G. Molybdenum Cofactor Deficiency in Humans. </w:t>
      </w:r>
      <w:r w:rsidRPr="00FB60DD">
        <w:rPr>
          <w:i/>
          <w:noProof/>
        </w:rPr>
        <w:t>Molecules</w:t>
      </w:r>
      <w:r w:rsidRPr="00FB60DD">
        <w:rPr>
          <w:noProof/>
        </w:rPr>
        <w:t>. Oct 14 2022;27(20)doi:10.3390/molecules27206896</w:t>
      </w:r>
    </w:p>
    <w:p w14:paraId="5F9C78E8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6.</w:t>
      </w:r>
      <w:r w:rsidRPr="00FB60DD">
        <w:rPr>
          <w:noProof/>
        </w:rPr>
        <w:tab/>
        <w:t xml:space="preserve">Kingsmore SF, Ramchandar N, James K, et al. Mortality in a neonate with molybdenum cofactor deficiency illustrates the need for a comprehensive rapid precision medicine system. </w:t>
      </w:r>
      <w:r w:rsidRPr="00FB60DD">
        <w:rPr>
          <w:i/>
          <w:noProof/>
        </w:rPr>
        <w:t>Cold Spring Harb Mol Case Stud</w:t>
      </w:r>
      <w:r w:rsidRPr="00FB60DD">
        <w:rPr>
          <w:noProof/>
        </w:rPr>
        <w:t>. Feb 2020;6(1)doi:10.1101/mcs.a004705</w:t>
      </w:r>
    </w:p>
    <w:p w14:paraId="10D73CF1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7.</w:t>
      </w:r>
      <w:r w:rsidRPr="00FB60DD">
        <w:rPr>
          <w:noProof/>
        </w:rPr>
        <w:tab/>
        <w:t xml:space="preserve">Sayed J, Nasir A, Sayed AG, Alghamdi OA, Alsharif EJ. A case report of MoCD etiology in a neonate: A novel homozygous MoCS2 variant. </w:t>
      </w:r>
      <w:r w:rsidRPr="00FB60DD">
        <w:rPr>
          <w:i/>
          <w:noProof/>
        </w:rPr>
        <w:t>Clin Case Rep</w:t>
      </w:r>
      <w:r w:rsidRPr="00FB60DD">
        <w:rPr>
          <w:noProof/>
        </w:rPr>
        <w:t>. Jul 2024;12(7):e9169. doi:10.1002/ccr3.9169</w:t>
      </w:r>
    </w:p>
    <w:p w14:paraId="2C49A92B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8.</w:t>
      </w:r>
      <w:r w:rsidRPr="00FB60DD">
        <w:rPr>
          <w:noProof/>
        </w:rPr>
        <w:tab/>
        <w:t xml:space="preserve">Stence NV, Coughlin CR, 2nd, Fenton LZ, Thomas JA. Distinctive pattern of restricted diffusion in a neonate with molybdenum cofactor deficiency. </w:t>
      </w:r>
      <w:r w:rsidRPr="00FB60DD">
        <w:rPr>
          <w:i/>
          <w:noProof/>
        </w:rPr>
        <w:t>Pediatr Radiol</w:t>
      </w:r>
      <w:r w:rsidRPr="00FB60DD">
        <w:rPr>
          <w:noProof/>
        </w:rPr>
        <w:t>. Jul 2013;43(7):882–5. doi:10.1007/s00247-012-2579-8</w:t>
      </w:r>
    </w:p>
    <w:p w14:paraId="20EB9244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9.</w:t>
      </w:r>
      <w:r w:rsidRPr="00FB60DD">
        <w:rPr>
          <w:noProof/>
        </w:rPr>
        <w:tab/>
        <w:t xml:space="preserve">Falsaperla R, Sciuto L, La Spina L, Sciuto S, Praticò AD, Ruggieri M. Neonatal seizures as onset of Inborn Errors of Metabolism (IEMs): from diagnosis to treatment. A systematic review. </w:t>
      </w:r>
      <w:r w:rsidRPr="00FB60DD">
        <w:rPr>
          <w:i/>
          <w:noProof/>
        </w:rPr>
        <w:t>Metab Brain Dis</w:t>
      </w:r>
      <w:r w:rsidRPr="00FB60DD">
        <w:rPr>
          <w:noProof/>
        </w:rPr>
        <w:t>. Dec 2021;36(8):2195–2203. doi:10.1007/s11011-021-00798-1</w:t>
      </w:r>
    </w:p>
    <w:p w14:paraId="085704A9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10.</w:t>
      </w:r>
      <w:r w:rsidRPr="00FB60DD">
        <w:rPr>
          <w:noProof/>
        </w:rPr>
        <w:tab/>
        <w:t xml:space="preserve">Kardah H, Al-Zoubi H, Odeh Z, Joumaa R, Alasmar D. A case report of molybdenum cofactor deficiency type A: the first case diagnosed in Syria. </w:t>
      </w:r>
      <w:r w:rsidRPr="00FB60DD">
        <w:rPr>
          <w:i/>
          <w:noProof/>
        </w:rPr>
        <w:t>Ann Med Surg (Lond)</w:t>
      </w:r>
      <w:r w:rsidRPr="00FB60DD">
        <w:rPr>
          <w:noProof/>
        </w:rPr>
        <w:t>. Mar 2024;86(3):1762–1765. doi:10.1097/ms9.0000000000001778</w:t>
      </w:r>
    </w:p>
    <w:p w14:paraId="0D5A8597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11.</w:t>
      </w:r>
      <w:r w:rsidRPr="00FB60DD">
        <w:rPr>
          <w:noProof/>
        </w:rPr>
        <w:tab/>
        <w:t xml:space="preserve">Lee EJ, Dandamudi R, Granadillo JL, Grange DK, Kakajiwala A. Rare cause of xanthinuria: a pediatric case of molybdenum cofactor deficiency B. </w:t>
      </w:r>
      <w:r w:rsidRPr="00FB60DD">
        <w:rPr>
          <w:i/>
          <w:noProof/>
        </w:rPr>
        <w:t>CEN Case Rep</w:t>
      </w:r>
      <w:r w:rsidRPr="00FB60DD">
        <w:rPr>
          <w:noProof/>
        </w:rPr>
        <w:t>. Aug 2021;10(3):378–382. doi:10.1007/s13730-021-00572-3</w:t>
      </w:r>
    </w:p>
    <w:p w14:paraId="64C39C30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12.</w:t>
      </w:r>
      <w:r w:rsidRPr="00FB60DD">
        <w:rPr>
          <w:noProof/>
        </w:rPr>
        <w:tab/>
        <w:t xml:space="preserve">Sie SD, de Jonge RC, Blom HJ, et al. Chronological changes of the amplitude-integrated EEG in a neonate with molybdenum cofactor deficiency. </w:t>
      </w:r>
      <w:r w:rsidRPr="00FB60DD">
        <w:rPr>
          <w:i/>
          <w:noProof/>
        </w:rPr>
        <w:t>J Inherit Metab Dis</w:t>
      </w:r>
      <w:r w:rsidRPr="00FB60DD">
        <w:rPr>
          <w:noProof/>
        </w:rPr>
        <w:t>. Dec 2010;33 Suppl 3(Suppl 3):S401–7. doi:10.1007/s10545-010-9198-z</w:t>
      </w:r>
    </w:p>
    <w:p w14:paraId="3F4BCF54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13.</w:t>
      </w:r>
      <w:r w:rsidRPr="00FB60DD">
        <w:rPr>
          <w:noProof/>
        </w:rPr>
        <w:tab/>
        <w:t xml:space="preserve">Parini R, Briscioli V, Caruso U, et al. Spherophakia associated with molybdenum cofactor deficiency. </w:t>
      </w:r>
      <w:r w:rsidRPr="00FB60DD">
        <w:rPr>
          <w:i/>
          <w:noProof/>
        </w:rPr>
        <w:t>Am J Med Genet</w:t>
      </w:r>
      <w:r w:rsidRPr="00FB60DD">
        <w:rPr>
          <w:noProof/>
        </w:rPr>
        <w:t>. Dec 19 1997;73(3):272–5. doi:10.1002/(sici)1096-8628(19971219)73:3&lt;272::aid-ajmg8&gt;3.0.co;2-u</w:t>
      </w:r>
    </w:p>
    <w:p w14:paraId="5A5DA6F3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14.</w:t>
      </w:r>
      <w:r w:rsidRPr="00FB60DD">
        <w:rPr>
          <w:noProof/>
        </w:rPr>
        <w:tab/>
        <w:t xml:space="preserve">Rajappa M, Goyal A, Kaur J. Inherited metabolic disorders involving the eye: a clinico-biochemical perspective. </w:t>
      </w:r>
      <w:r w:rsidRPr="00FB60DD">
        <w:rPr>
          <w:i/>
          <w:noProof/>
        </w:rPr>
        <w:t>Eye (Lond)</w:t>
      </w:r>
      <w:r w:rsidRPr="00FB60DD">
        <w:rPr>
          <w:noProof/>
        </w:rPr>
        <w:t>. Apr 2010;24(4):507–18. doi:10.1038/eye.2009.229</w:t>
      </w:r>
    </w:p>
    <w:p w14:paraId="55DAA586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15.</w:t>
      </w:r>
      <w:r w:rsidRPr="00FB60DD">
        <w:rPr>
          <w:noProof/>
        </w:rPr>
        <w:tab/>
        <w:t xml:space="preserve">Kurlemann G, Schuierer G. [EEG in diagnosis of other disease pictures than epilepsy]. </w:t>
      </w:r>
      <w:r w:rsidRPr="00FB60DD">
        <w:rPr>
          <w:i/>
          <w:noProof/>
        </w:rPr>
        <w:t>Klin Padiatr</w:t>
      </w:r>
      <w:r w:rsidRPr="00FB60DD">
        <w:rPr>
          <w:noProof/>
        </w:rPr>
        <w:t>. Mar–Apr 1994;206(2):100–7. Das EEG in der Diagnose anderer Krankheitsbilder als der Epilepsie. doi:10.1055/s-2008-1046591</w:t>
      </w:r>
    </w:p>
    <w:p w14:paraId="400CD913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16.</w:t>
      </w:r>
      <w:r w:rsidRPr="00FB60DD">
        <w:rPr>
          <w:noProof/>
        </w:rPr>
        <w:tab/>
        <w:t>Cristina Foresta PR, Emma Footittb, Stewart Boyd, Ronit Presslerc. EEG as a biomarker in neonatal Molybdenum cofactor deficiency. 2021;</w:t>
      </w:r>
    </w:p>
    <w:p w14:paraId="47F08E1C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17.</w:t>
      </w:r>
      <w:r w:rsidRPr="00FB60DD">
        <w:rPr>
          <w:noProof/>
        </w:rPr>
        <w:tab/>
        <w:t xml:space="preserve">Spiegel R, Schwahn BC, Squires L, Confer N. Molybdenum cofactor deficiency: A natural history. </w:t>
      </w:r>
      <w:r w:rsidRPr="00FB60DD">
        <w:rPr>
          <w:i/>
          <w:noProof/>
        </w:rPr>
        <w:t>J Inherit Metab Dis</w:t>
      </w:r>
      <w:r w:rsidRPr="00FB60DD">
        <w:rPr>
          <w:noProof/>
        </w:rPr>
        <w:t>. May 2022;45(3):456–469. doi:10.1002/jimd.12488</w:t>
      </w:r>
    </w:p>
    <w:p w14:paraId="7288AAB3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lastRenderedPageBreak/>
        <w:t>18.</w:t>
      </w:r>
      <w:r w:rsidRPr="00FB60DD">
        <w:rPr>
          <w:noProof/>
        </w:rPr>
        <w:tab/>
        <w:t xml:space="preserve">Misko A, Mahtani K, Abbott J, Schwarz G, Atwal P. Molybdenum Cofactor Deficiency. In: Adam MP, Feldman J, Mirzaa GM, et al, eds. </w:t>
      </w:r>
      <w:r w:rsidRPr="00FB60DD">
        <w:rPr>
          <w:i/>
          <w:noProof/>
        </w:rPr>
        <w:t>GeneReviews(®)</w:t>
      </w:r>
      <w:r w:rsidRPr="00FB60DD">
        <w:rPr>
          <w:noProof/>
        </w:rPr>
        <w:t>. University of Washington, Seattle</w:t>
      </w:r>
    </w:p>
    <w:p w14:paraId="00098FC4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Copyright © 1993-2024, University of Washington, Seattle. GeneReviews is a registered trademark of the University of Washington, Seattle. All rights reserved.; 1993.</w:t>
      </w:r>
    </w:p>
    <w:p w14:paraId="09DCF38D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19.</w:t>
      </w:r>
      <w:r w:rsidRPr="00FB60DD">
        <w:rPr>
          <w:noProof/>
        </w:rPr>
        <w:tab/>
        <w:t xml:space="preserve">Alonzo Martínez MC, Cazorla E, Cánovas E, Anniuk K, Cores AE, Serrano AM. Molybdenum Cofactor Deficiency: Mega Cisterna Magna in Two Consecutive Pregnancies and Review of the Literature. </w:t>
      </w:r>
      <w:r w:rsidRPr="00FB60DD">
        <w:rPr>
          <w:i/>
          <w:noProof/>
        </w:rPr>
        <w:t>Appl Clin Genet</w:t>
      </w:r>
      <w:r w:rsidRPr="00FB60DD">
        <w:rPr>
          <w:noProof/>
        </w:rPr>
        <w:t>. 2020;13:49–55. doi:10.2147/tacg.S239917</w:t>
      </w:r>
    </w:p>
    <w:p w14:paraId="7C78152D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20.</w:t>
      </w:r>
      <w:r w:rsidRPr="00FB60DD">
        <w:rPr>
          <w:noProof/>
        </w:rPr>
        <w:tab/>
        <w:t xml:space="preserve">Johnson JL. Prenatal diagnosis of molybdenum cofactor deficiency and isolated sulfite oxidase deficiency. </w:t>
      </w:r>
      <w:r w:rsidRPr="00FB60DD">
        <w:rPr>
          <w:i/>
          <w:noProof/>
        </w:rPr>
        <w:t>Prenat Diagn</w:t>
      </w:r>
      <w:r w:rsidRPr="00FB60DD">
        <w:rPr>
          <w:noProof/>
        </w:rPr>
        <w:t>. Jan 2003;23(1):6–8. doi:10.1002/pd.505</w:t>
      </w:r>
    </w:p>
    <w:p w14:paraId="25D16C9C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21.</w:t>
      </w:r>
      <w:r w:rsidRPr="00FB60DD">
        <w:rPr>
          <w:noProof/>
        </w:rPr>
        <w:tab/>
        <w:t xml:space="preserve">Reiss J, Christensen E, Dorche C. Molybdenum cofactor deficiency: first prenatal genetic analysis. </w:t>
      </w:r>
      <w:r w:rsidRPr="00FB60DD">
        <w:rPr>
          <w:i/>
          <w:noProof/>
        </w:rPr>
        <w:t>Prenat Diagn</w:t>
      </w:r>
      <w:r w:rsidRPr="00FB60DD">
        <w:rPr>
          <w:noProof/>
        </w:rPr>
        <w:t>. Apr 1999;19(4):386–8. doi:10.1002/(sici)1097-0223(199904)19:4&lt;386::aid-pd550&gt;3.0.co;2-#</w:t>
      </w:r>
    </w:p>
    <w:p w14:paraId="6E405757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22.</w:t>
      </w:r>
      <w:r w:rsidRPr="00FB60DD">
        <w:rPr>
          <w:noProof/>
        </w:rPr>
        <w:tab/>
        <w:t xml:space="preserve">Pressler RM, Abend NS, Auvin S, et al. Treatment of seizures in the neonate: Guidelines and consensus-based recommendations-Special report from the ILAE Task Force on Neonatal Seizures. </w:t>
      </w:r>
      <w:r w:rsidRPr="00FB60DD">
        <w:rPr>
          <w:i/>
          <w:noProof/>
        </w:rPr>
        <w:t>Epilepsia</w:t>
      </w:r>
      <w:r w:rsidRPr="00FB60DD">
        <w:rPr>
          <w:noProof/>
        </w:rPr>
        <w:t>. Oct 2023;64(10):2550–2570. doi:10.1111/epi.17745</w:t>
      </w:r>
    </w:p>
    <w:p w14:paraId="35638710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23.</w:t>
      </w:r>
      <w:r w:rsidRPr="00FB60DD">
        <w:rPr>
          <w:noProof/>
        </w:rPr>
        <w:tab/>
        <w:t xml:space="preserve">Howard IM, Patel AT. Spasticity evaluation and management tools. </w:t>
      </w:r>
      <w:r w:rsidRPr="00FB60DD">
        <w:rPr>
          <w:i/>
          <w:noProof/>
        </w:rPr>
        <w:t>Muscle Nerve</w:t>
      </w:r>
      <w:r w:rsidRPr="00FB60DD">
        <w:rPr>
          <w:noProof/>
        </w:rPr>
        <w:t>. Apr 2023;67(4):272–283. doi:10.1002/mus.27792</w:t>
      </w:r>
    </w:p>
    <w:p w14:paraId="46413E37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24.</w:t>
      </w:r>
      <w:r w:rsidRPr="00FB60DD">
        <w:rPr>
          <w:noProof/>
        </w:rPr>
        <w:tab/>
        <w:t xml:space="preserve">Schwahn BC, Van Spronsen FJ, Belaidi AA, et al. Efficacy and safety of cyclic pyranopterin monophosphate substitution in severe molybdenum cofactor deficiency type A: a prospective cohort study. </w:t>
      </w:r>
      <w:r w:rsidRPr="00FB60DD">
        <w:rPr>
          <w:i/>
          <w:noProof/>
        </w:rPr>
        <w:t>Lancet</w:t>
      </w:r>
      <w:r w:rsidRPr="00FB60DD">
        <w:rPr>
          <w:noProof/>
        </w:rPr>
        <w:t>. Nov 14 2015;386(10007):1955–1963. doi:10.1016/s0140-6736(15)00124-5</w:t>
      </w:r>
    </w:p>
    <w:p w14:paraId="4FFC8FCF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25.</w:t>
      </w:r>
      <w:r w:rsidRPr="00FB60DD">
        <w:rPr>
          <w:noProof/>
        </w:rPr>
        <w:tab/>
        <w:t xml:space="preserve">Farrell S, Karp J, Hager R, et al. Regulatory news: Nulibry (fosdenopterin) approved to reduce the risk of mortality in patients with molybdenum cofactor deficiency type A: FDA approval summary. </w:t>
      </w:r>
      <w:r w:rsidRPr="00FB60DD">
        <w:rPr>
          <w:i/>
          <w:noProof/>
        </w:rPr>
        <w:t>J Inherit Metab Dis</w:t>
      </w:r>
      <w:r w:rsidRPr="00FB60DD">
        <w:rPr>
          <w:noProof/>
        </w:rPr>
        <w:t>. Sep 2021;44(5):1085–1087. doi:10.1002/jimd.12421</w:t>
      </w:r>
    </w:p>
    <w:p w14:paraId="2725CB26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26.</w:t>
      </w:r>
      <w:r w:rsidRPr="00FB60DD">
        <w:rPr>
          <w:noProof/>
        </w:rPr>
        <w:tab/>
        <w:t xml:space="preserve">Veldman A, Santamaria-Araujo JA, Sollazzo S, et al. Successful treatment of molybdenum cofactor deficiency type A with cPMP. </w:t>
      </w:r>
      <w:r w:rsidRPr="00FB60DD">
        <w:rPr>
          <w:i/>
          <w:noProof/>
        </w:rPr>
        <w:t>Pediatrics</w:t>
      </w:r>
      <w:r w:rsidRPr="00FB60DD">
        <w:rPr>
          <w:noProof/>
        </w:rPr>
        <w:t>. May 2010;125(5):e1249–54. doi:10.1542/peds.2009-2192</w:t>
      </w:r>
    </w:p>
    <w:p w14:paraId="6FEF2733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27.</w:t>
      </w:r>
      <w:r w:rsidRPr="00FB60DD">
        <w:rPr>
          <w:noProof/>
        </w:rPr>
        <w:tab/>
        <w:t xml:space="preserve">Hitzert MM, Bos AF, Bergman KA, et al. Favorable outcome in a newborn with molybdenum cofactor type A deficiency treated with cPMP. </w:t>
      </w:r>
      <w:r w:rsidRPr="00FB60DD">
        <w:rPr>
          <w:i/>
          <w:noProof/>
        </w:rPr>
        <w:t>Pediatrics</w:t>
      </w:r>
      <w:r w:rsidRPr="00FB60DD">
        <w:rPr>
          <w:noProof/>
        </w:rPr>
        <w:t>. Oct 2012;130(4):e1005–10. doi:10.1542/peds.2011-3330</w:t>
      </w:r>
    </w:p>
    <w:p w14:paraId="44BFCAC9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28.</w:t>
      </w:r>
      <w:r w:rsidRPr="00FB60DD">
        <w:rPr>
          <w:noProof/>
        </w:rPr>
        <w:tab/>
        <w:t xml:space="preserve">Kang C. Fosdenopterin: First Approval. </w:t>
      </w:r>
      <w:r w:rsidRPr="00FB60DD">
        <w:rPr>
          <w:i/>
          <w:noProof/>
        </w:rPr>
        <w:t>Drugs</w:t>
      </w:r>
      <w:r w:rsidRPr="00FB60DD">
        <w:rPr>
          <w:noProof/>
        </w:rPr>
        <w:t>. Jun 2021;81(8):953–956. doi:10.1007/s40265-021-01520-2</w:t>
      </w:r>
    </w:p>
    <w:p w14:paraId="0CD35338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29.</w:t>
      </w:r>
      <w:r w:rsidRPr="00FB60DD">
        <w:rPr>
          <w:noProof/>
        </w:rPr>
        <w:tab/>
        <w:t xml:space="preserve">Kügler S, Hahnewald R, Garrido M, Reiss J. Long-term rescue of a lethal inherited disease by adeno-associated virus-mediated gene transfer in a mouse model of molybdenum-cofactor deficiency. </w:t>
      </w:r>
      <w:r w:rsidRPr="00FB60DD">
        <w:rPr>
          <w:i/>
          <w:noProof/>
        </w:rPr>
        <w:t>Am J Hum Genet</w:t>
      </w:r>
      <w:r w:rsidRPr="00FB60DD">
        <w:rPr>
          <w:noProof/>
        </w:rPr>
        <w:t>. Feb 2007;80(2):291–7. doi:10.1086/511281</w:t>
      </w:r>
    </w:p>
    <w:p w14:paraId="222C48C9" w14:textId="77777777" w:rsidR="001F49C3" w:rsidRPr="00FB60DD" w:rsidRDefault="001F49C3" w:rsidP="001F49C3">
      <w:pPr>
        <w:pStyle w:val="EndNoteBibliography"/>
        <w:rPr>
          <w:noProof/>
        </w:rPr>
      </w:pPr>
      <w:r w:rsidRPr="00FB60DD">
        <w:rPr>
          <w:noProof/>
        </w:rPr>
        <w:t>30.</w:t>
      </w:r>
      <w:r w:rsidRPr="00FB60DD">
        <w:rPr>
          <w:noProof/>
        </w:rPr>
        <w:tab/>
        <w:t xml:space="preserve">Abe Y, Aihara Y, Endo W, et al. The effect of dietary protein restriction in a case of molybdenum cofactor deficiency with MOCS1 mutation. </w:t>
      </w:r>
      <w:r w:rsidRPr="00FB60DD">
        <w:rPr>
          <w:i/>
          <w:noProof/>
        </w:rPr>
        <w:t>Mol Genet Metab Rep</w:t>
      </w:r>
      <w:r w:rsidRPr="00FB60DD">
        <w:rPr>
          <w:noProof/>
        </w:rPr>
        <w:t>. Mar 2021;26:100716. doi:10.1016/j.ymgmr.2021.100716</w:t>
      </w:r>
    </w:p>
    <w:p w14:paraId="61AE31F5" w14:textId="17F11EC3" w:rsidR="00797F12" w:rsidRDefault="001F49C3" w:rsidP="001F49C3">
      <w:r w:rsidRPr="007A14C4">
        <w:rPr>
          <w:rFonts w:ascii="Calibri" w:hAnsi="Calibri" w:cs="Calibri"/>
        </w:rPr>
        <w:fldChar w:fldCharType="end"/>
      </w:r>
    </w:p>
    <w:sectPr w:rsidR="00797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C3"/>
    <w:rsid w:val="00027889"/>
    <w:rsid w:val="00054A73"/>
    <w:rsid w:val="00151874"/>
    <w:rsid w:val="001A66B9"/>
    <w:rsid w:val="001F49C3"/>
    <w:rsid w:val="00330B0C"/>
    <w:rsid w:val="003C6ADD"/>
    <w:rsid w:val="0041689E"/>
    <w:rsid w:val="005F3902"/>
    <w:rsid w:val="00797F12"/>
    <w:rsid w:val="008064AE"/>
    <w:rsid w:val="00DD2EB9"/>
    <w:rsid w:val="00E058BE"/>
    <w:rsid w:val="00F5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F9C8A"/>
  <w15:chartTrackingRefBased/>
  <w15:docId w15:val="{6F496D97-7035-0847-B486-EAB2FC1C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9C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bdr w:val="none" w:sz="0" w:space="0" w:color="aut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bdr w:val="none" w:sz="0" w:space="0" w:color="aut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bdr w:val="none" w:sz="0" w:space="0" w:color="aut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bdr w:val="none" w:sz="0" w:space="0" w:color="aut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bdr w:val="none" w:sz="0" w:space="0" w:color="aut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C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bdr w:val="none" w:sz="0" w:space="0" w:color="aut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C3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bdr w:val="none" w:sz="0" w:space="0" w:color="aut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bdr w:val="none" w:sz="0" w:space="0" w:color="aut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4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C3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bdr w:val="none" w:sz="0" w:space="0" w:color="aut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C3"/>
    <w:rPr>
      <w:b/>
      <w:bCs/>
      <w:smallCaps/>
      <w:color w:val="0F4761" w:themeColor="accent1" w:themeShade="BF"/>
      <w:spacing w:val="5"/>
    </w:rPr>
  </w:style>
  <w:style w:type="character" w:customStyle="1" w:styleId="None">
    <w:name w:val="None"/>
    <w:rsid w:val="001F49C3"/>
  </w:style>
  <w:style w:type="paragraph" w:customStyle="1" w:styleId="EndNoteBibliography">
    <w:name w:val="EndNote Bibliography"/>
    <w:rsid w:val="001F49C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" w:hAnsi="Times New Roman" w:cs="Times New Roman"/>
      <w:color w:val="000000"/>
      <w:kern w:val="0"/>
      <w:szCs w:val="22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Sunshine</dc:creator>
  <cp:keywords/>
  <dc:description/>
  <cp:lastModifiedBy>Alex Sunshine</cp:lastModifiedBy>
  <cp:revision>1</cp:revision>
  <dcterms:created xsi:type="dcterms:W3CDTF">2026-05-28T04:15:00Z</dcterms:created>
  <dcterms:modified xsi:type="dcterms:W3CDTF">2026-05-28T04:15:00Z</dcterms:modified>
</cp:coreProperties>
</file>