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GWP1 — Student A Contribution</w:t>
      </w:r>
    </w:p>
    <w:p>
      <w:pPr>
        <w:pStyle w:val="Heading3"/>
      </w:pPr>
      <w:r>
        <w:rPr>
          <w:rFonts w:ascii="Arial" w:hAnsi="Arial"/>
        </w:rPr>
        <w:t>Macroeconomic and Geopolitical Variables, Outlier Screening, and Distributional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Course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MScFE 660 Risk 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Assignment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Group Work Project 1 — individual contribution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Student A: macroeconomic / geopolitical specialist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Seungeun Park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Core sample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2006-02 to 2025-12, 239 monthly observations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Companion 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30"/>
                <w:sz w:val="19"/>
              </w:rPr>
              <w:t>GWP1_StudentA_Notebook.ipynb</w:t>
            </w:r>
            <w:r>
              <w:rPr>
                <w:rFonts w:ascii="Arial" w:hAnsi="Arial"/>
              </w:rPr>
              <w:t xml:space="preserve"> (executed; HTML copy included)</w:t>
            </w:r>
          </w:p>
        </w:tc>
      </w:tr>
    </w:tbl>
    <w:p/>
    <w:p>
      <w:pPr>
        <w:jc w:val="center"/>
      </w:pPr>
      <w:r>
        <w:rPr>
          <w:rFonts w:ascii="Arial" w:hAnsi="Arial"/>
        </w:rPr>
        <w:t>____________________________________________________________</w:t>
      </w:r>
    </w:p>
    <w:p>
      <w:pPr>
        <w:pStyle w:val="Heading2"/>
      </w:pPr>
      <w:r>
        <w:rPr>
          <w:rFonts w:ascii="Arial" w:hAnsi="Arial"/>
        </w:rPr>
        <w:t>1. Problem Formulation</w:t>
      </w:r>
    </w:p>
    <w:p>
      <w:pPr>
        <w:pStyle w:val="Heading3"/>
      </w:pPr>
      <w:r>
        <w:rPr>
          <w:rFonts w:ascii="Arial" w:hAnsi="Arial"/>
        </w:rPr>
        <w:t>1.1 Problem addressed by the thesis</w:t>
      </w:r>
    </w:p>
    <w:p>
      <w:r>
        <w:rPr>
          <w:rFonts w:ascii="Arial" w:hAnsi="Arial"/>
        </w:rPr>
        <w:t>The problem is to forecast crude oil price states in a setting where several</w:t>
      </w:r>
    </w:p>
    <w:p>
      <w:r>
        <w:rPr>
          <w:rFonts w:ascii="Arial" w:hAnsi="Arial"/>
        </w:rPr>
        <w:t>drivers move together and where the relationships may change during stress</w:t>
      </w:r>
    </w:p>
    <w:p>
      <w:r>
        <w:rPr>
          <w:rFonts w:ascii="Arial" w:hAnsi="Arial"/>
        </w:rPr>
        <w:t>periods. A plain one-variable price model is too narrow for this task. Oil</w:t>
      </w:r>
    </w:p>
    <w:p>
      <w:r>
        <w:rPr>
          <w:rFonts w:ascii="Arial" w:hAnsi="Arial"/>
        </w:rPr>
        <w:t>prices respond to market benchmarks, currency conditions, risk appetite,</w:t>
      </w:r>
    </w:p>
    <w:p>
      <w:r>
        <w:rPr>
          <w:rFonts w:ascii="Arial" w:hAnsi="Arial"/>
        </w:rPr>
        <w:t>inventories, and geopolitical risk. The purpose of this GWP1 report is</w:t>
      </w:r>
    </w:p>
    <w:p>
      <w:r>
        <w:rPr>
          <w:rFonts w:ascii="Arial" w:hAnsi="Arial"/>
        </w:rPr>
        <w:t>therefore not to claim a final causal model, but to prepare a clean variable</w:t>
      </w:r>
    </w:p>
    <w:p>
      <w:r>
        <w:rPr>
          <w:rFonts w:ascii="Arial" w:hAnsi="Arial"/>
        </w:rPr>
        <w:t>panel for Bayesian-network development.</w:t>
      </w:r>
    </w:p>
    <w:p>
      <w:pPr>
        <w:pStyle w:val="Heading3"/>
      </w:pPr>
      <w:r>
        <w:rPr>
          <w:rFonts w:ascii="Arial" w:hAnsi="Arial"/>
        </w:rPr>
        <w:t>1.2 Why Bayesian networks fit the problem</w:t>
      </w:r>
    </w:p>
    <w:p>
      <w:r>
        <w:rPr>
          <w:rFonts w:ascii="Arial" w:hAnsi="Arial"/>
        </w:rPr>
        <w:t>Bayesian networks are useful because they express multivariate dependence</w:t>
      </w:r>
    </w:p>
    <w:p>
      <w:r>
        <w:rPr>
          <w:rFonts w:ascii="Arial" w:hAnsi="Arial"/>
        </w:rPr>
        <w:t>through nodes, directed edges, and conditional probability tables. That</w:t>
      </w:r>
    </w:p>
    <w:p>
      <w:r>
        <w:rPr>
          <w:rFonts w:ascii="Arial" w:hAnsi="Arial"/>
        </w:rPr>
        <w:t>structure is easier to interpret than a black-box regression when the research</w:t>
      </w:r>
    </w:p>
    <w:p>
      <w:r>
        <w:rPr>
          <w:rFonts w:ascii="Arial" w:hAnsi="Arial"/>
        </w:rPr>
        <w:t>question is about how oil-price states are associated with candidate drivers.</w:t>
      </w:r>
    </w:p>
    <w:p>
      <w:r>
        <w:rPr>
          <w:rFonts w:ascii="Arial" w:hAnsi="Arial"/>
        </w:rPr>
        <w:t>The network also allows future scenario questions, such as how the probability</w:t>
      </w:r>
    </w:p>
    <w:p>
      <w:r>
        <w:rPr>
          <w:rFonts w:ascii="Arial" w:hAnsi="Arial"/>
        </w:rPr>
        <w:t>of a WTI down month changes when the dollar strengthens and geopolitical risk</w:t>
      </w:r>
    </w:p>
    <w:p>
      <w:r>
        <w:rPr>
          <w:rFonts w:ascii="Arial" w:hAnsi="Arial"/>
        </w:rPr>
        <w:t>is high.</w:t>
      </w:r>
    </w:p>
    <w:p>
      <w:pPr>
        <w:pStyle w:val="Heading3"/>
      </w:pPr>
      <w:r>
        <w:rPr>
          <w:rFonts w:ascii="Arial" w:hAnsi="Arial"/>
        </w:rPr>
        <w:t>1.3 Advantages of the methodology</w:t>
      </w:r>
    </w:p>
    <w:p>
      <w:r>
        <w:rPr>
          <w:rFonts w:ascii="Arial" w:hAnsi="Arial"/>
        </w:rPr>
        <w:t>The main advantage is that the method can combine data evidence with domain</w:t>
      </w:r>
    </w:p>
    <w:p>
      <w:r>
        <w:rPr>
          <w:rFonts w:ascii="Arial" w:hAnsi="Arial"/>
        </w:rPr>
        <w:t>restrictions. In this report, same-month dependence statistics are treated as</w:t>
      </w:r>
    </w:p>
    <w:p>
      <w:r>
        <w:rPr>
          <w:rFonts w:ascii="Arial" w:hAnsi="Arial"/>
        </w:rPr>
        <w:t>screening evidence. Predictive timing is left for later model validation. This</w:t>
      </w:r>
    </w:p>
    <w:p>
      <w:r>
        <w:rPr>
          <w:rFonts w:ascii="Arial" w:hAnsi="Arial"/>
        </w:rPr>
        <w:t>avoids overstating the early-stage evidence while still giving GWP2 a coherent</w:t>
      </w:r>
    </w:p>
    <w:p>
      <w:r>
        <w:rPr>
          <w:rFonts w:ascii="Arial" w:hAnsi="Arial"/>
        </w:rPr>
        <w:t>set of candidate parents for WTI return state.</w:t>
      </w:r>
    </w:p>
    <w:p>
      <w:pPr>
        <w:pStyle w:val="Heading2"/>
      </w:pPr>
      <w:r>
        <w:rPr>
          <w:rFonts w:ascii="Arial" w:hAnsi="Arial"/>
        </w:rPr>
        <w:t>2. Macroeconomic and geopolitical variables (Step 3)</w:t>
      </w:r>
    </w:p>
    <w:p>
      <w:r>
        <w:rPr>
          <w:rFonts w:ascii="Arial" w:hAnsi="Arial"/>
        </w:rPr>
        <w:t>Two series in the group panel fall under Student A's specialism.</w:t>
      </w:r>
    </w:p>
    <w:p>
      <w:r>
        <w:rPr>
          <w:rFonts w:ascii="Arial" w:hAnsi="Arial"/>
          <w:b/>
        </w:rPr>
        <w:t>Broad U.S. dollar index</w:t>
      </w:r>
      <w:r>
        <w:rPr>
          <w:rFonts w:ascii="Arial" w:hAnsi="Arial"/>
        </w:rPr>
        <w:t xml:space="preserve"> (FRED </w:t>
      </w:r>
      <w:r>
        <w:rPr>
          <w:rFonts w:ascii="Consolas" w:hAnsi="Consolas"/>
          <w:color w:val="B03030"/>
          <w:sz w:val="19"/>
        </w:rPr>
        <w:t>TWEXBGSMTH</w:t>
      </w:r>
      <w:r>
        <w:rPr>
          <w:rFonts w:ascii="Arial" w:hAnsi="Arial"/>
        </w:rPr>
        <w:t>; macroeconomic). Crude oil is</w:t>
      </w:r>
    </w:p>
    <w:p>
      <w:r>
        <w:rPr>
          <w:rFonts w:ascii="Arial" w:hAnsi="Arial"/>
        </w:rPr>
        <w:t>priced in dollars, so a stronger dollar mechanically pressures the barrel for</w:t>
      </w:r>
    </w:p>
    <w:p>
      <w:r>
        <w:rPr>
          <w:rFonts w:ascii="Arial" w:hAnsi="Arial"/>
        </w:rPr>
        <w:t>non-dollar buyers. The raw index begins in January 2006, and that start date is</w:t>
      </w:r>
    </w:p>
    <w:p>
      <w:r>
        <w:rPr>
          <w:rFonts w:ascii="Arial" w:hAnsi="Arial"/>
        </w:rPr>
        <w:t>what pins the group's core sample to 2006-02 onward — a trade-off the group</w:t>
      </w:r>
    </w:p>
    <w:p>
      <w:r>
        <w:rPr>
          <w:rFonts w:ascii="Arial" w:hAnsi="Arial"/>
        </w:rPr>
        <w:t>accepted because the currency channel is worth more to the model than the</w:t>
      </w:r>
    </w:p>
    <w:p>
      <w:r>
        <w:rPr>
          <w:rFonts w:ascii="Arial" w:hAnsi="Arial"/>
        </w:rPr>
        <w:t>pre-2006 oil history it costs.</w:t>
      </w:r>
    </w:p>
    <w:p>
      <w:r>
        <w:rPr>
          <w:rFonts w:ascii="Arial" w:hAnsi="Arial"/>
          <w:b/>
        </w:rPr>
        <w:t>Geopolitical Risk index</w:t>
      </w:r>
      <w:r>
        <w:rPr>
          <w:rFonts w:ascii="Arial" w:hAnsi="Arial"/>
        </w:rPr>
        <w:t xml:space="preserve"> (Caldara and Iacoviello; geopolitical). A news-based</w:t>
      </w:r>
    </w:p>
    <w:p>
      <w:r>
        <w:rPr>
          <w:rFonts w:ascii="Arial" w:hAnsi="Arial"/>
        </w:rPr>
        <w:t>count of war, terror and sanction coverage, available from 1985. Its full</w:t>
      </w:r>
    </w:p>
    <w:p>
      <w:r>
        <w:rPr>
          <w:rFonts w:ascii="Arial" w:hAnsi="Arial"/>
        </w:rPr>
        <w:t>history (Figure A1b) shows the character of the series: it does not trend, it</w:t>
      </w:r>
    </w:p>
    <w:p>
      <w:r>
        <w:rPr>
          <w:rFonts w:ascii="Arial" w:hAnsi="Arial"/>
        </w:rPr>
        <w:t>spikes. The Gulf War, 9/11, the Iraq invasion and the 2022 invasion of Ukraine</w:t>
      </w:r>
    </w:p>
    <w:p>
      <w:r>
        <w:rPr>
          <w:rFonts w:ascii="Arial" w:hAnsi="Arial"/>
        </w:rPr>
        <w:t>all appear as sharp jumps followed by decay. In the core sample the largest</w:t>
      </w:r>
    </w:p>
    <w:p>
      <w:r>
        <w:rPr>
          <w:rFonts w:ascii="Arial" w:hAnsi="Arial"/>
        </w:rPr>
        <w:t>monthly changes land on February–April 2022 and on October 2023.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69280" cy="3488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1_macro_geo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</w:rPr>
        <w:t>Figure A1 — Student A variables in levels: broad U.S. dollar index and the GPR index (full history), with major geopolitical events marked.</w:t>
      </w:r>
    </w:p>
    <w:p>
      <w:r>
        <w:rPr>
          <w:rFonts w:ascii="Arial" w:hAnsi="Arial"/>
        </w:rPr>
        <w:t>Both series were imported from their raw files, aligned to the group's monthly</w:t>
      </w:r>
    </w:p>
    <w:p>
      <w:r>
        <w:rPr>
          <w:rFonts w:ascii="Arial" w:hAnsi="Arial"/>
        </w:rPr>
        <w:t>grid, and transformed — the dollar to monthly log-returns, GPR to level and</w:t>
      </w:r>
    </w:p>
    <w:p>
      <w:r>
        <w:rPr>
          <w:rFonts w:ascii="Arial" w:hAnsi="Arial"/>
        </w:rPr>
        <w:t>monthly change (Figure A2). Two structuring observations matter for the</w:t>
      </w:r>
    </w:p>
    <w:p>
      <w:r>
        <w:rPr>
          <w:rFonts w:ascii="Arial" w:hAnsi="Arial"/>
        </w:rPr>
        <w:t>model stage. First, the dollar return shows the expected inverse relationship</w:t>
      </w:r>
    </w:p>
    <w:p>
      <w:r>
        <w:rPr>
          <w:rFonts w:ascii="Arial" w:hAnsi="Arial"/>
        </w:rPr>
        <w:t xml:space="preserve">with WTI returns, about </w:t>
      </w:r>
      <w:r>
        <w:rPr>
          <w:rFonts w:ascii="Arial" w:hAnsi="Arial"/>
          <w:b/>
        </w:rPr>
        <w:t>−0.44</w:t>
      </w:r>
      <w:r>
        <w:rPr>
          <w:rFonts w:ascii="Arial" w:hAnsi="Arial"/>
        </w:rPr>
        <w:t xml:space="preserve"> in the core sample, the strongest single</w:t>
      </w:r>
    </w:p>
    <w:p>
      <w:r>
        <w:rPr>
          <w:rFonts w:ascii="Arial" w:hAnsi="Arial"/>
        </w:rPr>
        <w:t>non-oil link in the panel. Second, GPR's spike-and-decay shape means it carries</w:t>
      </w:r>
    </w:p>
    <w:p>
      <w:r>
        <w:rPr>
          <w:rFonts w:ascii="Arial" w:hAnsi="Arial"/>
        </w:rPr>
        <w:t>information as a *state* (calm / elevated / extreme) rather than as a smooth</w:t>
      </w:r>
    </w:p>
    <w:p>
      <w:r>
        <w:rPr>
          <w:rFonts w:ascii="Arial" w:hAnsi="Arial"/>
        </w:rPr>
        <w:t>level, which supports the group's decision to discretize every driver before</w:t>
      </w:r>
    </w:p>
    <w:p>
      <w:r>
        <w:rPr>
          <w:rFonts w:ascii="Arial" w:hAnsi="Arial"/>
        </w:rPr>
        <w:t>the Bayesian-network stage.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69280" cy="3052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2_macro_geo_chan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</w:rPr>
        <w:t>Figure A2 — Structured to the core sample: dollar monthly log-return and GPR monthly change.</w:t>
      </w:r>
    </w:p>
    <w:p>
      <w:pPr>
        <w:pStyle w:val="Heading2"/>
      </w:pPr>
      <w:r>
        <w:rPr>
          <w:rFonts w:ascii="Arial" w:hAnsi="Arial"/>
        </w:rPr>
        <w:t>3. Extreme-outlier screening on all series (Step 5)</w:t>
      </w:r>
    </w:p>
    <w:p>
      <w:r>
        <w:rPr>
          <w:rFonts w:ascii="Arial" w:hAnsi="Arial"/>
        </w:rPr>
        <w:t>Student A's cleaning responsibility is the extreme-outlier check, applied to</w:t>
      </w:r>
    </w:p>
    <w:p>
      <w:r>
        <w:rPr>
          <w:rFonts w:ascii="Arial" w:hAnsi="Arial"/>
        </w:rPr>
        <w:t>every transformed series in the panel: WTI and Brent returns, the dollar</w:t>
      </w:r>
    </w:p>
    <w:p>
      <w:r>
        <w:rPr>
          <w:rFonts w:ascii="Arial" w:hAnsi="Arial"/>
        </w:rPr>
        <w:t>return, the VIX change, the inventory change and the GPR change.</w:t>
      </w:r>
    </w:p>
    <w:p>
      <w:r>
        <w:rPr>
          <w:rFonts w:ascii="Arial" w:hAnsi="Arial"/>
          <w:b/>
        </w:rPr>
        <w:t>Method.</w:t>
      </w:r>
      <w:r>
        <w:rPr>
          <w:rFonts w:ascii="Arial" w:hAnsi="Arial"/>
        </w:rPr>
        <w:t xml:space="preserve"> Each observation receives a </w:t>
      </w:r>
      <w:r>
        <w:rPr>
          <w:rFonts w:ascii="Arial" w:hAnsi="Arial"/>
          <w:b/>
        </w:rPr>
        <w:t>modified z-score</w:t>
      </w:r>
      <w:r>
        <w:rPr>
          <w:rFonts w:ascii="Arial" w:hAnsi="Arial"/>
        </w:rPr>
        <w:t xml:space="preserve"> built from the</w:t>
      </w:r>
    </w:p>
    <w:p>
      <w:r>
        <w:rPr>
          <w:rFonts w:ascii="Arial" w:hAnsi="Arial"/>
        </w:rPr>
        <w:t>median and the median absolute deviation (MAD) rather than the mean and</w:t>
      </w:r>
    </w:p>
    <w:p>
      <w:r>
        <w:rPr>
          <w:rFonts w:ascii="Arial" w:hAnsi="Arial"/>
        </w:rPr>
        <w:t>standard deviation. The reason is practical: the mean and standard deviation</w:t>
      </w:r>
    </w:p>
    <w:p>
      <w:r>
        <w:rPr>
          <w:rFonts w:ascii="Arial" w:hAnsi="Arial"/>
        </w:rPr>
        <w:t>are themselves distorted by the outliers the screen is looking for, so a plain</w:t>
      </w:r>
    </w:p>
    <w:p>
      <w:r>
        <w:rPr>
          <w:rFonts w:ascii="Arial" w:hAnsi="Arial"/>
        </w:rPr>
        <w:t>z-score under-flags exactly when it matters. A month is flagged when the</w:t>
      </w:r>
    </w:p>
    <w:p>
      <w:r>
        <w:rPr>
          <w:rFonts w:ascii="Arial" w:hAnsi="Arial"/>
        </w:rPr>
        <w:t>absolute modified z-score exceeds 5.</w:t>
      </w:r>
    </w:p>
    <w:p>
      <w:r>
        <w:rPr>
          <w:rFonts w:ascii="Arial" w:hAnsi="Arial"/>
          <w:b/>
        </w:rPr>
        <w:t>Rule.</w:t>
      </w:r>
      <w:r>
        <w:rPr>
          <w:rFonts w:ascii="Arial" w:hAnsi="Arial"/>
        </w:rPr>
        <w:t xml:space="preserve"> Flagged months are reviewed, not deleted. In oil data the extreme</w:t>
      </w:r>
    </w:p>
    <w:p>
      <w:r>
        <w:rPr>
          <w:rFonts w:ascii="Arial" w:hAnsi="Arial"/>
        </w:rPr>
        <w:t>observations are usually the point — deleting 2020 would remove the single most</w:t>
      </w:r>
    </w:p>
    <w:p>
      <w:r>
        <w:rPr>
          <w:rFonts w:ascii="Arial" w:hAnsi="Arial"/>
        </w:rPr>
        <w:t>informative stress episode in the sample.</w:t>
      </w:r>
    </w:p>
    <w:p>
      <w:r>
        <w:rPr>
          <w:rFonts w:ascii="Arial" w:hAnsi="Arial"/>
          <w:b/>
        </w:rPr>
        <w:t>Findings.</w:t>
      </w:r>
      <w:r>
        <w:rPr>
          <w:rFonts w:ascii="Arial" w:hAnsi="Arial"/>
        </w:rPr>
        <w:t xml:space="preserve"> The screen flags 15 observations across the six series</w:t>
      </w:r>
    </w:p>
    <w:p>
      <w:r>
        <w:rPr>
          <w:rFonts w:ascii="Arial" w:hAnsi="Arial"/>
        </w:rPr>
        <w:t>(Table A1). Every one of them lands on a recognisable market event, and none</w:t>
      </w:r>
    </w:p>
    <w:p>
      <w:r>
        <w:rPr>
          <w:rFonts w:ascii="Arial" w:hAnsi="Arial"/>
        </w:rPr>
        <w:t>looks like a mechanical error: no isolated ten-fold jumps, no impossible signs,</w:t>
      </w:r>
    </w:p>
    <w:p>
      <w:r>
        <w:rPr>
          <w:rFonts w:ascii="Arial" w:hAnsi="Arial"/>
        </w:rPr>
        <w:t>no values detached from their neighbours.</w:t>
      </w:r>
    </w:p>
    <w:p>
      <w:r>
        <w:rPr>
          <w:rFonts w:ascii="Arial" w:hAnsi="Arial"/>
          <w:b/>
        </w:rPr>
        <w:t>Table A1 — Flagged observations, |modified z| &gt; 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</w:rPr>
              <w:t>Series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</w:rPr>
              <w:t>Robust z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WTI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−0.5483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−7.15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COVID demand collapse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WTI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−0.5681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−7.40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COVID / storage stress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WTI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+0.5456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+6.84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Reopening rebound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Brent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−0.5532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−6.68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COVID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Brent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−0.5548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−6.70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COVID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Brent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+0.4691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+5.42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Rebound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2008-10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Dollar return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+0.0716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+5.92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GFC flight to dollar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2008-09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VIX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+18.74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+5.28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Lehman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2008-10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VIX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+20.50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+5.77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GFC peak stress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VIX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+21.27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+5.98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COVID shock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2020-04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VIX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−19.39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−5.26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Stress unwind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2022-03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GPR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+102.80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+6.57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Invasion of Ukraine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2022-04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GPR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−127.81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−8.06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Post-invasion decay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2023-10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GPR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+99.25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+6.35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Middle East conflict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</w:rPr>
              <w:t>2025-07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GPR change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−86.91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−5.47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</w:rPr>
              <w:t>Risk normalisation</w:t>
            </w:r>
          </w:p>
        </w:tc>
      </w:tr>
    </w:tbl>
    <w:p/>
    <w:p>
      <w:r>
        <w:rPr>
          <w:rFonts w:ascii="Arial" w:hAnsi="Arial"/>
        </w:rPr>
        <w:t>The recommendation passed to the group: keep all fifteen months. The flags are</w:t>
      </w:r>
    </w:p>
    <w:p>
      <w:r>
        <w:rPr>
          <w:rFonts w:ascii="Arial" w:hAnsi="Arial"/>
        </w:rPr>
        <w:t>handed to Student B, whose bad-data check covers the mechanical problems</w:t>
      </w:r>
    </w:p>
    <w:p>
      <w:r>
        <w:rPr>
          <w:rFonts w:ascii="Arial" w:hAnsi="Arial"/>
        </w:rPr>
        <w:t>(non-positive prices, duplicates), and to Student C for the missing-value</w:t>
      </w:r>
    </w:p>
    <w:p>
      <w:r>
        <w:rPr>
          <w:rFonts w:ascii="Arial" w:hAnsi="Arial"/>
        </w:rPr>
        <w:t>treatment. Figure A3 shows the flags overlaid on the WTI return series.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69280" cy="1962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3_outlier_fla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</w:rPr>
        <w:t>Figure A3 — WTI monthly log-returns with the outlier flags. Flagged months are reviewed and kept, not deleted.</w:t>
      </w:r>
    </w:p>
    <w:p>
      <w:pPr>
        <w:pStyle w:val="Heading2"/>
      </w:pPr>
      <w:r>
        <w:rPr>
          <w:rFonts w:ascii="Arial" w:hAnsi="Arial"/>
        </w:rPr>
        <w:t>4. Distributional analysis of all datasets (Step 7)</w:t>
      </w:r>
    </w:p>
    <w:p>
      <w:r>
        <w:rPr>
          <w:rFonts w:ascii="Arial" w:hAnsi="Arial"/>
        </w:rPr>
        <w:t>Student A's EDA lens is the shape of each variable's distribution. Figure A4</w:t>
      </w:r>
    </w:p>
    <w:p>
      <w:r>
        <w:rPr>
          <w:rFonts w:ascii="Arial" w:hAnsi="Arial"/>
        </w:rPr>
        <w:t>shows a histogram of every transformed series against its Normal fit, Figure A5</w:t>
      </w:r>
    </w:p>
    <w:p>
      <w:r>
        <w:rPr>
          <w:rFonts w:ascii="Arial" w:hAnsi="Arial"/>
        </w:rPr>
        <w:t>gives the target a closer look with a Normal overlay and a Q-Q plot, and</w:t>
      </w:r>
    </w:p>
    <w:p>
      <w:r>
        <w:rPr>
          <w:rFonts w:ascii="Arial" w:hAnsi="Arial"/>
        </w:rPr>
        <w:t>Table A2 collects the moments.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69280" cy="3123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4_distribution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</w:rPr>
        <w:t>Figure A4 — Distribution of every transformed series against its Normal fit (skew and excess kurtosis in each title).</w:t>
      </w:r>
    </w:p>
    <w:p>
      <w:r>
        <w:rPr>
          <w:rFonts w:ascii="Arial" w:hAnsi="Arial"/>
          <w:b/>
        </w:rPr>
        <w:t>Table A2 — Distribution summary, core sample (239 months).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Series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Std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Skew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Excess kurtosis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Min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WTI return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−0.0005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−0.91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8.55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−0.568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0.546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Brent return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−0.0000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0.1056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−1.15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7.41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−0.555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0.469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Dollar return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0.0008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0.0133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+0.75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2.63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−0.032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0.072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VIX change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0.0084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5.32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+0.43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3.32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−19.4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21.3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Inventory change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504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11,969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+0.47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−27,362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51,047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</w:rPr>
              <w:t>GPR change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0.16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23.9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+0.02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6.30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−127.8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</w:rPr>
              <w:t>102.8</w:t>
            </w:r>
          </w:p>
        </w:tc>
      </w:tr>
    </w:tbl>
    <w:p/>
    <w:p>
      <w:r>
        <w:rPr>
          <w:rFonts w:ascii="Arial" w:hAnsi="Arial"/>
        </w:rPr>
        <w:t>Three observations. First, the target is the worst-behaved series in the panel:</w:t>
      </w:r>
    </w:p>
    <w:p>
      <w:r>
        <w:rPr>
          <w:rFonts w:ascii="Arial" w:hAnsi="Arial"/>
        </w:rPr>
        <w:t>WTI returns are left-skewed (−0.91) with excess kurtosis of 8.55, and a</w:t>
      </w:r>
    </w:p>
    <w:p>
      <w:r>
        <w:rPr>
          <w:rFonts w:ascii="Arial" w:hAnsi="Arial"/>
        </w:rPr>
        <w:t>Jarque–Bera test rejects Normality at any conventional level. The Q-Q plot</w:t>
      </w:r>
    </w:p>
    <w:p>
      <w:r>
        <w:rPr>
          <w:rFonts w:ascii="Arial" w:hAnsi="Arial"/>
        </w:rPr>
        <w:t>(Figure A5) bends off the reference line at both ends — the visual signature of</w:t>
      </w:r>
    </w:p>
    <w:p>
      <w:r>
        <w:rPr>
          <w:rFonts w:ascii="Arial" w:hAnsi="Arial"/>
        </w:rPr>
        <w:t>fat tails.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669280" cy="1943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5_wti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</w:rPr>
        <w:t>Figure A5 — WTI monthly log-returns: histogram with Normal overlay (left) and Normal Q-Q plot (right).</w:t>
      </w:r>
    </w:p>
    <w:p>
      <w:r>
        <w:rPr>
          <w:rFonts w:ascii="Arial" w:hAnsi="Arial"/>
        </w:rPr>
        <w:t>Second, the skews are not all the same direction. The oil benchmarks skew</w:t>
      </w:r>
    </w:p>
    <w:p>
      <w:r>
        <w:rPr>
          <w:rFonts w:ascii="Arial" w:hAnsi="Arial"/>
        </w:rPr>
        <w:t>*negative* (crashes are bigger than rallies), while the dollar, the VIX and GPR</w:t>
      </w:r>
    </w:p>
    <w:p>
      <w:r>
        <w:rPr>
          <w:rFonts w:ascii="Arial" w:hAnsi="Arial"/>
        </w:rPr>
        <w:t>skew *positive* — stress variables spike upward. That asymmetry is economically</w:t>
      </w:r>
    </w:p>
    <w:p>
      <w:r>
        <w:rPr>
          <w:rFonts w:ascii="Arial" w:hAnsi="Arial"/>
        </w:rPr>
        <w:t>sensible: the same event that produces an extreme negative oil month produces</w:t>
      </w:r>
    </w:p>
    <w:p>
      <w:r>
        <w:rPr>
          <w:rFonts w:ascii="Arial" w:hAnsi="Arial"/>
        </w:rPr>
        <w:t>an extreme positive dollar, VIX and GPR month. Third, the inventory change is</w:t>
      </w:r>
    </w:p>
    <w:p>
      <w:r>
        <w:rPr>
          <w:rFonts w:ascii="Arial" w:hAnsi="Arial"/>
        </w:rPr>
        <w:t>the closest thing to a Normal variable in the panel (excess kurtosis 0.88),</w:t>
      </w:r>
    </w:p>
    <w:p>
      <w:r>
        <w:rPr>
          <w:rFonts w:ascii="Arial" w:hAnsi="Arial"/>
        </w:rPr>
        <w:t>which is what one would expect from a smoothed physical-stock series.</w:t>
      </w:r>
    </w:p>
    <w:p>
      <w:r>
        <w:rPr>
          <w:rFonts w:ascii="Arial" w:hAnsi="Arial"/>
        </w:rPr>
        <w:t>The practical conclusion for the group: no Gaussian assumption survives this</w:t>
      </w:r>
    </w:p>
    <w:p>
      <w:r>
        <w:rPr>
          <w:rFonts w:ascii="Arial" w:hAnsi="Arial"/>
        </w:rPr>
        <w:t>panel. That finding is what justifies moving to discretized states —</w:t>
      </w:r>
    </w:p>
    <w:p>
      <w:r>
        <w:rPr>
          <w:rFonts w:ascii="Arial" w:hAnsi="Arial"/>
        </w:rPr>
        <w:t>Down/Flat/Up for the target, Low/Medium/High for drivers — before the</w:t>
      </w:r>
    </w:p>
    <w:p>
      <w:r>
        <w:rPr>
          <w:rFonts w:ascii="Arial" w:hAnsi="Arial"/>
        </w:rPr>
        <w:t>Bayesian-network stage, since conditional probability tables make no</w:t>
      </w:r>
    </w:p>
    <w:p>
      <w:r>
        <w:rPr>
          <w:rFonts w:ascii="Arial" w:hAnsi="Arial"/>
        </w:rPr>
        <w:t>distributional assumption at all.</w:t>
      </w:r>
    </w:p>
    <w:p>
      <w:pPr>
        <w:pStyle w:val="Heading2"/>
      </w:pPr>
      <w:r>
        <w:rPr>
          <w:rFonts w:ascii="Arial" w:hAnsi="Arial"/>
        </w:rPr>
        <w:t>5. Probabilistic graphical models: belief networks and Markov networks (Step 9)</w:t>
      </w:r>
    </w:p>
    <w:p>
      <w:r>
        <w:rPr>
          <w:rFonts w:ascii="Arial" w:hAnsi="Arial"/>
          <w:b/>
        </w:rPr>
        <w:t>What a PGM is.</w:t>
      </w:r>
      <w:r>
        <w:rPr>
          <w:rFonts w:ascii="Arial" w:hAnsi="Arial"/>
        </w:rPr>
        <w:t xml:space="preserve"> A probabilistic graphical model represents a joint</w:t>
      </w:r>
    </w:p>
    <w:p>
      <w:r>
        <w:rPr>
          <w:rFonts w:ascii="Arial" w:hAnsi="Arial"/>
        </w:rPr>
        <w:t>probability distribution with a graph. Nodes are random variables; edges mark</w:t>
      </w:r>
    </w:p>
    <w:p>
      <w:r>
        <w:rPr>
          <w:rFonts w:ascii="Arial" w:hAnsi="Arial"/>
        </w:rPr>
        <w:t>direct probabilistic dependence; and — the part that does the real work — a</w:t>
      </w:r>
    </w:p>
    <w:p>
      <w:r>
        <w:rPr>
          <w:rFonts w:ascii="Arial" w:hAnsi="Arial"/>
        </w:rPr>
        <w:t>*missing* edge is a statement of conditional independence. This matters because</w:t>
      </w:r>
    </w:p>
    <w:p>
      <w:r>
        <w:rPr>
          <w:rFonts w:ascii="Arial" w:hAnsi="Arial"/>
        </w:rPr>
        <w:t>a joint distribution over even a handful of discretized variables is too large</w:t>
      </w:r>
    </w:p>
    <w:p>
      <w:r>
        <w:rPr>
          <w:rFonts w:ascii="Arial" w:hAnsi="Arial"/>
        </w:rPr>
        <w:t>to estimate honestly from 239 monthly observations. The graph factorises that</w:t>
      </w:r>
    </w:p>
    <w:p>
      <w:r>
        <w:rPr>
          <w:rFonts w:ascii="Arial" w:hAnsi="Arial"/>
        </w:rPr>
        <w:t>joint distribution into small local pieces, each estimable on its own, and it</w:t>
      </w:r>
    </w:p>
    <w:p>
      <w:r>
        <w:rPr>
          <w:rFonts w:ascii="Arial" w:hAnsi="Arial"/>
        </w:rPr>
        <w:t>does so in a form a human can read and challenge. If the graph asserts</w:t>
      </w:r>
    </w:p>
    <w:p>
      <w:r>
        <w:rPr>
          <w:rFonts w:ascii="Arial" w:hAnsi="Arial"/>
        </w:rPr>
        <w:t>something economically absurd, the group can see it and fix it before the model</w:t>
      </w:r>
    </w:p>
    <w:p>
      <w:r>
        <w:rPr>
          <w:rFonts w:ascii="Arial" w:hAnsi="Arial"/>
        </w:rPr>
        <w:t>is used, which is not true of most black-box alternatives.</w:t>
      </w:r>
    </w:p>
    <w:p>
      <w:r>
        <w:rPr>
          <w:rFonts w:ascii="Arial" w:hAnsi="Arial"/>
          <w:b/>
        </w:rPr>
        <w:t>Belief networks.</w:t>
      </w:r>
      <w:r>
        <w:rPr>
          <w:rFonts w:ascii="Arial" w:hAnsi="Arial"/>
        </w:rPr>
        <w:t xml:space="preserve"> A belief network — the term Bayesian network is used</w:t>
      </w:r>
    </w:p>
    <w:p>
      <w:r>
        <w:rPr>
          <w:rFonts w:ascii="Arial" w:hAnsi="Arial"/>
        </w:rPr>
        <w:t>interchangeably — is built on a *directed acyclic graph*. Each node carries a</w:t>
      </w:r>
    </w:p>
    <w:p>
      <w:r>
        <w:rPr>
          <w:rFonts w:ascii="Arial" w:hAnsi="Arial"/>
        </w:rPr>
        <w:t>conditional probability distribution given its parents, and the joint</w:t>
      </w:r>
    </w:p>
    <w:p>
      <w:r>
        <w:rPr>
          <w:rFonts w:ascii="Arial" w:hAnsi="Arial"/>
        </w:rPr>
        <w:t>distribution factorises as the product of those local distributions. Two</w:t>
      </w:r>
    </w:p>
    <w:p>
      <w:r>
        <w:rPr>
          <w:rFonts w:ascii="Arial" w:hAnsi="Arial"/>
        </w:rPr>
        <w:t>properties follow from the direction of the edges. First, the graph can express</w:t>
      </w:r>
    </w:p>
    <w:p>
      <w:r>
        <w:rPr>
          <w:rFonts w:ascii="Arial" w:hAnsi="Arial"/>
        </w:rPr>
        <w:t>asymmetric relationships: "a geopolitical-risk spike raises the probability of</w:t>
      </w:r>
    </w:p>
    <w:p>
      <w:r>
        <w:rPr>
          <w:rFonts w:ascii="Arial" w:hAnsi="Arial"/>
        </w:rPr>
        <w:t>an extreme oil month" is a directed statement, and the reverse claim is a</w:t>
      </w:r>
    </w:p>
    <w:p>
      <w:r>
        <w:rPr>
          <w:rFonts w:ascii="Arial" w:hAnsi="Arial"/>
        </w:rPr>
        <w:t>different edge. Second, the network supports *evidence updating*: fix the</w:t>
      </w:r>
    </w:p>
    <w:p>
      <w:r>
        <w:rPr>
          <w:rFonts w:ascii="Arial" w:hAnsi="Arial"/>
        </w:rPr>
        <w:t>observed nodes (the dollar strengthened, GPR is elevated), and the conditional</w:t>
      </w:r>
    </w:p>
    <w:p>
      <w:r>
        <w:rPr>
          <w:rFonts w:ascii="Arial" w:hAnsi="Arial"/>
        </w:rPr>
        <w:t>distribution of the target node follows from the factorisation. That is</w:t>
      </w:r>
    </w:p>
    <w:p>
      <w:r>
        <w:rPr>
          <w:rFonts w:ascii="Arial" w:hAnsi="Arial"/>
        </w:rPr>
        <w:t>precisely the scenario question a risk desk asks, and it is why the group's</w:t>
      </w:r>
    </w:p>
    <w:p>
      <w:r>
        <w:rPr>
          <w:rFonts w:ascii="Arial" w:hAnsi="Arial"/>
        </w:rPr>
        <w:t>project is framed around this family.</w:t>
      </w:r>
    </w:p>
    <w:p>
      <w:r>
        <w:rPr>
          <w:rFonts w:ascii="Arial" w:hAnsi="Arial"/>
          <w:b/>
        </w:rPr>
        <w:t>Markov networks.</w:t>
      </w:r>
      <w:r>
        <w:rPr>
          <w:rFonts w:ascii="Arial" w:hAnsi="Arial"/>
        </w:rPr>
        <w:t xml:space="preserve"> A Markov network — also called a Markov random field —</w:t>
      </w:r>
    </w:p>
    <w:p>
      <w:r>
        <w:rPr>
          <w:rFonts w:ascii="Arial" w:hAnsi="Arial"/>
        </w:rPr>
        <w:t>uses an *undirected* graph. Edges represent symmetric association; the joint</w:t>
      </w:r>
    </w:p>
    <w:p>
      <w:r>
        <w:rPr>
          <w:rFonts w:ascii="Arial" w:hAnsi="Arial"/>
        </w:rPr>
        <w:t>distribution factorises over the graph's cliques through non-negative potential</w:t>
      </w:r>
    </w:p>
    <w:p>
      <w:r>
        <w:rPr>
          <w:rFonts w:ascii="Arial" w:hAnsi="Arial"/>
        </w:rPr>
        <w:t>functions; and because potentials are not probabilities, a normalising constant</w:t>
      </w:r>
    </w:p>
    <w:p>
      <w:r>
        <w:rPr>
          <w:rFonts w:ascii="Arial" w:hAnsi="Arial"/>
        </w:rPr>
        <w:t>(the partition function) is required, which is often the expensive part.</w:t>
      </w:r>
    </w:p>
    <w:p>
      <w:r>
        <w:rPr>
          <w:rFonts w:ascii="Arial" w:hAnsi="Arial"/>
        </w:rPr>
        <w:t>Markov networks are the natural tool where dependence has no direction —</w:t>
      </w:r>
    </w:p>
    <w:p>
      <w:r>
        <w:rPr>
          <w:rFonts w:ascii="Arial" w:hAnsi="Arial"/>
        </w:rPr>
        <w:t>spatial data, image models, contemporaneous co-movement between market</w:t>
      </w:r>
    </w:p>
    <w:p>
      <w:r>
        <w:rPr>
          <w:rFonts w:ascii="Arial" w:hAnsi="Arial"/>
        </w:rPr>
        <w:t>variables. What they cannot do, by construction, is say which way an influence</w:t>
      </w:r>
    </w:p>
    <w:p>
      <w:r>
        <w:rPr>
          <w:rFonts w:ascii="Arial" w:hAnsi="Arial"/>
        </w:rPr>
        <w:t>runs.</w:t>
      </w:r>
    </w:p>
    <w:p>
      <w:r>
        <w:rPr>
          <w:rFonts w:ascii="Arial" w:hAnsi="Arial"/>
          <w:b/>
        </w:rPr>
        <w:t>How the two relate in this project.</w:t>
      </w:r>
      <w:r>
        <w:rPr>
          <w:rFonts w:ascii="Arial" w:hAnsi="Arial"/>
        </w:rPr>
        <w:t xml:space="preserve"> The distinction is not a ranking; it is</w:t>
      </w:r>
    </w:p>
    <w:p>
      <w:r>
        <w:rPr>
          <w:rFonts w:ascii="Arial" w:hAnsi="Arial"/>
        </w:rPr>
        <w:t>a division of labour. The group's forecasting question — how does the WTI</w:t>
      </w:r>
    </w:p>
    <w:p>
      <w:r>
        <w:rPr>
          <w:rFonts w:ascii="Arial" w:hAnsi="Arial"/>
        </w:rPr>
        <w:t>return state respond to observed driver states — needs direction, so the model</w:t>
      </w:r>
    </w:p>
    <w:p>
      <w:r>
        <w:rPr>
          <w:rFonts w:ascii="Arial" w:hAnsi="Arial"/>
        </w:rPr>
        <w:t>of record is a belief network. But the undirected view still appears inside the</w:t>
      </w:r>
    </w:p>
    <w:p>
      <w:r>
        <w:rPr>
          <w:rFonts w:ascii="Arial" w:hAnsi="Arial"/>
        </w:rPr>
        <w:t>workflow: constraint-based structure learning first recovers an undirected</w:t>
      </w:r>
    </w:p>
    <w:p>
      <w:r>
        <w:rPr>
          <w:rFonts w:ascii="Arial" w:hAnsi="Arial"/>
        </w:rPr>
        <w:t>*skeleton* from conditional-independence tests, and only then orients edges</w:t>
      </w:r>
    </w:p>
    <w:p>
      <w:r>
        <w:rPr>
          <w:rFonts w:ascii="Arial" w:hAnsi="Arial"/>
        </w:rPr>
        <w:t>(colliders first, then propagation rules). The skeleton phase is, in effect, a</w:t>
      </w:r>
    </w:p>
    <w:p>
      <w:r>
        <w:rPr>
          <w:rFonts w:ascii="Arial" w:hAnsi="Arial"/>
        </w:rPr>
        <w:t>Markov-network view of the data that the algorithm subsequently sharpens into a</w:t>
      </w:r>
    </w:p>
    <w:p>
      <w:r>
        <w:rPr>
          <w:rFonts w:ascii="Arial" w:hAnsi="Arial"/>
        </w:rPr>
        <w:t>belief network. One caution belongs in the record: a directed edge recovered</w:t>
      </w:r>
    </w:p>
    <w:p>
      <w:r>
        <w:rPr>
          <w:rFonts w:ascii="Arial" w:hAnsi="Arial"/>
        </w:rPr>
        <w:t>this way is a modelling hypothesis consistent with the data's independence</w:t>
      </w:r>
    </w:p>
    <w:p>
      <w:r>
        <w:rPr>
          <w:rFonts w:ascii="Arial" w:hAnsi="Arial"/>
        </w:rPr>
        <w:t>structure, not proof of economic causation, and the group's report treats it</w:t>
      </w:r>
    </w:p>
    <w:p>
      <w:r>
        <w:rPr>
          <w:rFonts w:ascii="Arial" w:hAnsi="Arial"/>
        </w:rPr>
        <w:t>that way throughout.</w:t>
      </w:r>
    </w:p>
    <w:p>
      <w:pPr>
        <w:jc w:val="center"/>
      </w:pPr>
      <w:r>
        <w:rPr>
          <w:rFonts w:ascii="Arial" w:hAnsi="Arial"/>
        </w:rPr>
        <w:t>____________________________________________________________</w:t>
      </w:r>
    </w:p>
    <w:p>
      <w:pPr>
        <w:pStyle w:val="Heading2"/>
      </w:pPr>
      <w:r>
        <w:rPr>
          <w:rFonts w:ascii="Arial" w:hAnsi="Arial"/>
        </w:rPr>
        <w:t>Works Cited</w:t>
      </w:r>
    </w:p>
    <w:p>
      <w:r>
        <w:rPr>
          <w:rFonts w:ascii="Arial" w:hAnsi="Arial"/>
        </w:rPr>
        <w:t>Alvi, Danish A. *Application of Probabilistic Graphical Models in Forecasting</w:t>
      </w:r>
    </w:p>
    <w:p>
      <w:r>
        <w:rPr>
          <w:rFonts w:ascii="Arial" w:hAnsi="Arial"/>
        </w:rPr>
        <w:t>Crude Oil Price.* 2018. University College London, Dissertation.</w:t>
      </w:r>
    </w:p>
    <w:p>
      <w:r>
        <w:rPr>
          <w:rFonts w:ascii="Arial" w:hAnsi="Arial"/>
        </w:rPr>
        <w:t>Board of Governors of the Federal Reserve System (US). "Nominal Broad U.S.</w:t>
      </w:r>
    </w:p>
    <w:p>
      <w:r>
        <w:rPr>
          <w:rFonts w:ascii="Arial" w:hAnsi="Arial"/>
        </w:rPr>
        <w:t>Dollar Index [TWEXBGSMTH]." *FRED*, Federal Reserve Bank of St. Louis.</w:t>
      </w:r>
    </w:p>
    <w:p>
      <w:r>
        <w:rPr>
          <w:rFonts w:ascii="Arial" w:hAnsi="Arial"/>
        </w:rPr>
        <w:t>Caldara, Dario, and Matteo Iacoviello. "Measuring Geopolitical Risk."</w:t>
      </w:r>
    </w:p>
    <w:p>
      <w:r>
        <w:rPr>
          <w:rFonts w:ascii="Arial" w:hAnsi="Arial"/>
        </w:rPr>
        <w:t>*American Economic Review*, vol. 112, no. 4, 2022, pp. 1194–1225.</w:t>
      </w:r>
    </w:p>
    <w:p>
      <w:r>
        <w:rPr>
          <w:rFonts w:ascii="Arial" w:hAnsi="Arial"/>
        </w:rPr>
        <w:t>Koller, Daphne, and Nir Friedman. *Probabilistic Graphical Models: Principles</w:t>
      </w:r>
    </w:p>
    <w:p>
      <w:r>
        <w:rPr>
          <w:rFonts w:ascii="Arial" w:hAnsi="Arial"/>
        </w:rPr>
        <w:t>and Techniques.* MIT Press, 2009.</w:t>
      </w:r>
    </w:p>
    <w:p>
      <w:r>
        <w:rPr>
          <w:rFonts w:ascii="Arial" w:hAnsi="Arial"/>
        </w:rPr>
        <w:t>U.S. Energy Information Administration. "Petroleum &amp; Other Liquids." *EIA*,</w:t>
      </w:r>
    </w:p>
    <w:p>
      <w:r>
        <w:rPr>
          <w:rFonts w:ascii="Arial" w:hAnsi="Arial"/>
        </w:rPr>
        <w:t>www.eia.gov/petroleum/data.php.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