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Forecasting Crude Oil Prices with Probabilistic Graphical Models</w:t>
      </w:r>
    </w:p>
    <w:p>
      <w:pPr>
        <w:pStyle w:val="Heading3"/>
      </w:pPr>
      <w:r>
        <w:t>Group Work Project #1 — Problem Formulation and Data</w:t>
      </w:r>
    </w:p>
    <w:p>
      <w:r>
        <w:rPr>
          <w:b/>
        </w:rPr>
        <w:t>MScFE 660 — Risk Management, WorldQuant University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320"/>
          </w:tcPr>
          <w:p>
            <w:r>
              <w:t>Seungeun Park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Submission</w:t>
            </w:r>
          </w:p>
        </w:tc>
        <w:tc>
          <w:tcPr>
            <w:tcW w:type="dxa" w:w="4320"/>
          </w:tcPr>
          <w:p>
            <w:r>
              <w:t>Group Work Project #1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4320"/>
          </w:tcPr>
          <w:p>
            <w:r>
              <w:t>Application of probabilistic graphical models to crude-oil price forecasting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Base reading</w:t>
            </w:r>
          </w:p>
        </w:tc>
        <w:tc>
          <w:tcPr>
            <w:tcW w:type="dxa" w:w="4320"/>
          </w:tcPr>
          <w:p>
            <w:r>
              <w:t>Alvi, Danish A. *Application of Probabilistic Graphical Models in Forecasting Crude Oil Price.* University College London, 2018.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Companion notebook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30"/>
                <w:sz w:val="19"/>
              </w:rPr>
              <w:t>GWP1_Oil_BayesianNetwork.ipynb</w:t>
            </w:r>
            <w:r>
              <w:t xml:space="preserve"> (executed; HTML copy included)</w:t>
            </w:r>
          </w:p>
        </w:tc>
      </w:tr>
    </w:tbl>
    <w:p/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1. Introduction and problem formulation</w:t>
      </w:r>
    </w:p>
    <w:p>
      <w:pPr>
        <w:pStyle w:val="Heading3"/>
      </w:pPr>
      <w:r>
        <w:t>1.1 The problem the thesis sets out to solve</w:t>
      </w:r>
    </w:p>
    <w:p>
      <w:r>
        <w:t>Crude oil is the single most actively traded physical commodity in the world, and its</w:t>
      </w:r>
    </w:p>
    <w:p>
      <w:r>
        <w:t>price sits at the intersection of macroeconomics, geopolitics and financial markets.</w:t>
      </w:r>
    </w:p>
    <w:p>
      <w:r>
        <w:t>A move in the barrel feeds straight through to inflation, corporate margins, central-bank</w:t>
      </w:r>
    </w:p>
    <w:p>
      <w:r>
        <w:t>policy and the balance sheets of energy exporters and importers alike. Because so much</w:t>
      </w:r>
    </w:p>
    <w:p>
      <w:r>
        <w:t>depends on it, forecasting the oil price is a long-standing and stubbornly difficult</w:t>
      </w:r>
    </w:p>
    <w:p>
      <w:r>
        <w:t>problem. Danish Alvi's 2018 dissertation takes on exactly this task, but reframes it in a</w:t>
      </w:r>
    </w:p>
    <w:p>
      <w:r>
        <w:t>way that is unusual for the commodity-forecasting literature. Rather than asking a single</w:t>
      </w:r>
    </w:p>
    <w:p>
      <w:r>
        <w:t>regression to map a handful of inputs onto tomorrow's price, the thesis asks a broader</w:t>
      </w:r>
    </w:p>
    <w:p>
      <w:r>
        <w:t>question: *what is the web of causes that moves the oil price, and can we learn that web</w:t>
      </w:r>
    </w:p>
    <w:p>
      <w:r>
        <w:t>directly from data?*</w:t>
      </w:r>
    </w:p>
    <w:p>
      <w:r>
        <w:t>The forecasting problem the thesis attacks has three features that make it hard. First,</w:t>
      </w:r>
    </w:p>
    <w:p>
      <w:r>
        <w:t>the price is driven by a large and heterogeneous set of factors — supply decisions by</w:t>
      </w:r>
    </w:p>
    <w:p>
      <w:r>
        <w:t>OPEC and shale producers, the strength of the U.S. dollar, global industrial demand,</w:t>
      </w:r>
    </w:p>
    <w:p>
      <w:r>
        <w:t>inventories, interest rates, and outright political shocks such as wars and sanctions.</w:t>
      </w:r>
    </w:p>
    <w:p>
      <w:r>
        <w:t>Second, those factors interact: a dollar move and an inventory build do not act in</w:t>
      </w:r>
    </w:p>
    <w:p>
      <w:r>
        <w:t>isolation, and the effect of one often depends on the state of another. Third, the</w:t>
      </w:r>
    </w:p>
    <w:p>
      <w:r>
        <w:t>relationships are not stable through time. The mechanism that set the price in the calm</w:t>
      </w:r>
    </w:p>
    <w:p>
      <w:r>
        <w:t>of 2006 is not the mechanism that set it during the 2008 collapse, the 2014–16 shale glut,</w:t>
      </w:r>
    </w:p>
    <w:p>
      <w:r>
        <w:t>or the April-2020 episode when the front-month WTI contract briefly traded *below zero*.</w:t>
      </w:r>
    </w:p>
    <w:p>
      <w:r>
        <w:t>A model that assumes a fixed linear relationship between fixed inputs is, almost by</w:t>
      </w:r>
    </w:p>
    <w:p>
      <w:r>
        <w:t>construction, going to miss the moments that matter most for risk management.</w:t>
      </w:r>
    </w:p>
    <w:p>
      <w:r>
        <w:t>Alvi's response is to treat oil-price formation as a **probabilistic graphical model</w:t>
      </w:r>
    </w:p>
    <w:p>
      <w:r>
        <w:t>(PGM)** — specifically a Bayesian network — in which the many drivers become nodes, the</w:t>
      </w:r>
    </w:p>
    <w:p>
      <w:r>
        <w:t>dependencies between them become edges, and the whole joint distribution of the system can</w:t>
      </w:r>
    </w:p>
    <w:p>
      <w:r>
        <w:t>be reasoned about coherently. The deliverable is therefore not just a point forecast but a</w:t>
      </w:r>
    </w:p>
    <w:p>
      <w:r>
        <w:t>*structured, probabilistic* view of how the drivers hang together and how uncertainty</w:t>
      </w:r>
    </w:p>
    <w:p>
      <w:r>
        <w:t>propagates from one to another.</w:t>
      </w:r>
    </w:p>
    <w:p>
      <w:pPr>
        <w:pStyle w:val="Heading3"/>
      </w:pPr>
      <w:r>
        <w:t>1.2 Why Bayesian networks are well suited to this problem</w:t>
      </w:r>
    </w:p>
    <w:p>
      <w:r>
        <w:t>A Bayesian network is a directed acyclic graph whose nodes are random variables and whose</w:t>
      </w:r>
    </w:p>
    <w:p>
      <w:r>
        <w:t>edges encode direct probabilistic dependence, together with a set of conditional</w:t>
      </w:r>
    </w:p>
    <w:p>
      <w:r>
        <w:t>probability distributions that quantify those dependencies. Four properties make this</w:t>
      </w:r>
    </w:p>
    <w:p>
      <w:r>
        <w:t>representation an unusually good fit for oil-price forecasting.</w:t>
      </w:r>
    </w:p>
    <w:p>
      <w:r>
        <w:rPr>
          <w:b/>
        </w:rPr>
        <w:t>It represents structure, not just correlation.</w:t>
      </w:r>
      <w:r>
        <w:t xml:space="preserve"> The central weakness of a plain</w:t>
      </w:r>
    </w:p>
    <w:p>
      <w:r>
        <w:t>correlation or regression study is that it tells us *that* variables move together but not</w:t>
      </w:r>
    </w:p>
    <w:p>
      <w:r>
        <w:t>*how* they are wired. Oil analysts genuinely care about direction: does a stronger dollar</w:t>
      </w:r>
    </w:p>
    <w:p>
      <w:r>
        <w:t>push oil down, or does cheaper oil (via the terms of trade) push the dollar up? A Bayesian</w:t>
      </w:r>
    </w:p>
    <w:p>
      <w:r>
        <w:t>network makes these directed relationships first-class citizens of the model, and — as</w:t>
      </w:r>
    </w:p>
    <w:p>
      <w:r>
        <w:t>Section 4 describes — the structure can itself be *learned* from data rather than imposed</w:t>
      </w:r>
    </w:p>
    <w:p>
      <w:r>
        <w:t>by assumption.</w:t>
      </w:r>
    </w:p>
    <w:p>
      <w:r>
        <w:rPr>
          <w:b/>
        </w:rPr>
        <w:t>It is natively probabilistic and handles uncertainty coherently.</w:t>
      </w:r>
      <w:r>
        <w:t xml:space="preserve"> Every quantity in a</w:t>
      </w:r>
    </w:p>
    <w:p>
      <w:r>
        <w:t>risk problem is uncertain, and the useful output is rarely a single number but a</w:t>
      </w:r>
    </w:p>
    <w:p>
      <w:r>
        <w:t>distribution. A Bayesian network returns a full posterior for the target given whatever is</w:t>
      </w:r>
    </w:p>
    <w:p>
      <w:r>
        <w:t>currently known, so it answers "given a dollar rally and rising inventories, what is the</w:t>
      </w:r>
    </w:p>
    <w:p>
      <w:r>
        <w:t>*distribution* of next week's oil price?" rather than only its mean. This is exactly the</w:t>
      </w:r>
    </w:p>
    <w:p>
      <w:r>
        <w:t>distributional thinking that Value-at-Risk and Expected-Shortfall reporting demand.</w:t>
      </w:r>
    </w:p>
    <w:p>
      <w:r>
        <w:rPr>
          <w:b/>
        </w:rPr>
        <w:t>It reasons gracefully under partial information.</w:t>
      </w:r>
      <w:r>
        <w:t xml:space="preserve"> Not every driver is observed at every</w:t>
      </w:r>
    </w:p>
    <w:p>
      <w:r>
        <w:t>moment — macro series are released monthly, some geopolitical indicators lag, and data</w:t>
      </w:r>
    </w:p>
    <w:p>
      <w:r>
        <w:t>goes missing. Because inference in a Bayesian network marginalises over unobserved nodes,</w:t>
      </w:r>
    </w:p>
    <w:p>
      <w:r>
        <w:t>the model can still produce a coherent forecast when only part of the picture is available,</w:t>
      </w:r>
    </w:p>
    <w:p>
      <w:r>
        <w:t>and it can answer *what-if* queries (fix one node, read off the effect on another) without</w:t>
      </w:r>
    </w:p>
    <w:p>
      <w:r>
        <w:t>being retrained.</w:t>
      </w:r>
    </w:p>
    <w:p>
      <w:r>
        <w:t>**It encodes conditional independence, which tames dimensionality and improves</w:t>
      </w:r>
    </w:p>
    <w:p>
      <w:r>
        <w:t>interpretability.** The graph states which variables are irrelevant to the target once its</w:t>
      </w:r>
    </w:p>
    <w:p>
      <w:r>
        <w:t>direct causes are known — formally, a node is independent of the rest of the network given</w:t>
      </w:r>
    </w:p>
    <w:p>
      <w:r>
        <w:t xml:space="preserve">its </w:t>
      </w:r>
      <w:r>
        <w:rPr>
          <w:b/>
        </w:rPr>
        <w:t>Markov blanket</w:t>
      </w:r>
      <w:r>
        <w:t>. This both shrinks the number of parameters that must be estimated</w:t>
      </w:r>
    </w:p>
    <w:p>
      <w:r>
        <w:t>(a real concern with a dozen-plus interacting drivers) and yields a model a human analyst</w:t>
      </w:r>
    </w:p>
    <w:p>
      <w:r>
        <w:t>can read and challenge, which is a regulatory virtue in risk work.</w:t>
      </w:r>
    </w:p>
    <w:p>
      <w:pPr>
        <w:pStyle w:val="Heading3"/>
      </w:pPr>
      <w:r>
        <w:t>1.3 Advantages of the methodology for this specific problem</w:t>
      </w:r>
    </w:p>
    <w:p>
      <w:r>
        <w:t>Set against the alternatives usually applied to oil, the Bayesian-network approach carries</w:t>
      </w:r>
    </w:p>
    <w:p>
      <w:r>
        <w:t>several concrete advantages. Compared with linear or ARIMA-type time-series models, it</w:t>
      </w:r>
    </w:p>
    <w:p>
      <w:r>
        <w:t>captures *non-linear* and *conditional* effects — for example, that a supply shock matters</w:t>
      </w:r>
    </w:p>
    <w:p>
      <w:r>
        <w:t>far more when inventories are already low. Compared with a single black-box neural network,</w:t>
      </w:r>
    </w:p>
    <w:p>
      <w:r>
        <w:t>it is *transparent*: the learned graph is an object domain experts can inspect, criticise</w:t>
      </w:r>
    </w:p>
    <w:p>
      <w:r>
        <w:t>and sign off on, which is decisive when a model must justify a capital number to a risk</w:t>
      </w:r>
    </w:p>
    <w:p>
      <w:r>
        <w:t>committee. Compared with any purely correlational study, it distinguishes *direction* and</w:t>
      </w:r>
    </w:p>
    <w:p>
      <w:r>
        <w:t>gets closer to the causal story, which is what lets it survive regime changes: if the data</w:t>
      </w:r>
    </w:p>
    <w:p>
      <w:r>
        <w:t>support a v-structure in which geopolitical risk and the dollar jointly drive the price,</w:t>
      </w:r>
    </w:p>
    <w:p>
      <w:r>
        <w:t>that structure keeps its meaning even as the numerical relationships shift. And because</w:t>
      </w:r>
    </w:p>
    <w:p>
      <w:r>
        <w:t>inference is fast once the network is built, the model supports the kind of scenario and</w:t>
      </w:r>
    </w:p>
    <w:p>
      <w:r>
        <w:t>sensitivity analysis — "how does the oil-price distribution change if the dollar index</w:t>
      </w:r>
    </w:p>
    <w:p>
      <w:r>
        <w:t>jumps two percent?" — that is the daily business of a commodity risk desk.</w:t>
      </w:r>
    </w:p>
    <w:p>
      <w:r>
        <w:t>For all these reasons, the remainder of this project builds the empirical foundation for</w:t>
      </w:r>
    </w:p>
    <w:p>
      <w:r>
        <w:t>such a model: it assembles the drivers, cleans them into a trustworthy dataset, and</w:t>
      </w:r>
    </w:p>
    <w:p>
      <w:r>
        <w:t>characterises the statistical behaviour of the oil price that any candidate model — the</w:t>
      </w:r>
    </w:p>
    <w:p>
      <w:r>
        <w:t>Bayesian network of GWP2 included — will have to reproduce.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2. The data</w:t>
      </w:r>
    </w:p>
    <w:p>
      <w:pPr>
        <w:pStyle w:val="Heading3"/>
      </w:pPr>
      <w:r>
        <w:t>2.1 Scope and design</w:t>
      </w:r>
    </w:p>
    <w:p>
      <w:r>
        <w:t>Following the structure of the base reading, we organise the drivers of the oil price into</w:t>
      </w:r>
    </w:p>
    <w:p>
      <w:r>
        <w:t xml:space="preserve">four groups — </w:t>
      </w:r>
      <w:r>
        <w:rPr>
          <w:b/>
        </w:rPr>
        <w:t>macroeconomic</w:t>
      </w:r>
      <w:r>
        <w:t xml:space="preserve">, </w:t>
      </w:r>
      <w:r>
        <w:rPr>
          <w:b/>
        </w:rPr>
        <w:t>microeconomic / industry</w:t>
      </w:r>
      <w:r>
        <w:t xml:space="preserve">, </w:t>
      </w:r>
      <w:r>
        <w:rPr>
          <w:b/>
        </w:rPr>
        <w:t>financial</w:t>
      </w:r>
      <w:r>
        <w:t>, and</w:t>
      </w:r>
    </w:p>
    <w:p>
      <w:r>
        <w:rPr>
          <w:b/>
        </w:rPr>
        <w:t>geopolitical</w:t>
      </w:r>
      <w:r>
        <w:t xml:space="preserve"> — and collect a representative series for each. The target variable is the</w:t>
      </w:r>
    </w:p>
    <w:p>
      <w:r>
        <w:t>West Texas Intermediate (WTI) spot price, with Brent retained as a second oil benchmark.</w:t>
      </w:r>
    </w:p>
    <w:p>
      <w:r>
        <w:t xml:space="preserve">All series span </w:t>
      </w:r>
      <w:r>
        <w:rPr>
          <w:b/>
        </w:rPr>
        <w:t>January 2005 to May 2024</w:t>
      </w:r>
      <w:r>
        <w:t xml:space="preserve"> and are aligned to a common </w:t>
      </w:r>
      <w:r>
        <w:rPr>
          <w:b/>
        </w:rPr>
        <w:t>weekly (Friday)</w:t>
      </w:r>
    </w:p>
    <w:p>
      <w:r>
        <w:t>grid: weekly frequency is a deliberate compromise that is granular enough to capture the</w:t>
      </w:r>
    </w:p>
    <w:p>
      <w:r>
        <w:t>turbulence of crisis episodes while smoothing the microstructure noise of daily prints and</w:t>
      </w:r>
    </w:p>
    <w:p>
      <w:r>
        <w:t>matching the release cadence of the slower fundamental series.</w:t>
      </w:r>
    </w:p>
    <w:p>
      <w:r>
        <w:t>The primary sources are the Federal Reserve Economic Data service (FRED) of the Federal</w:t>
      </w:r>
    </w:p>
    <w:p>
      <w:r>
        <w:t>Reserve Bank of St. Louis, Yahoo Finance (for the energy-sector ETF), and the Geopolitical</w:t>
      </w:r>
    </w:p>
    <w:p>
      <w:r>
        <w:t>Risk index of Caldara and Iacoviello. The companion notebook downloads these directly; the</w:t>
      </w:r>
    </w:p>
    <w:p>
      <w:r>
        <w:t>FRED series are retrieved from the public CSV endpoint (no key required) and the ETF via</w:t>
      </w:r>
    </w:p>
    <w:p>
      <w:r>
        <w:rPr>
          <w:rFonts w:ascii="Consolas" w:hAnsi="Consolas"/>
          <w:color w:val="B03030"/>
          <w:sz w:val="19"/>
        </w:rPr>
        <w:t>yfinance</w:t>
      </w:r>
      <w:r>
        <w:t>.</w:t>
      </w:r>
    </w:p>
    <w:p>
      <w:pPr>
        <w:pStyle w:val="Heading3"/>
      </w:pPr>
      <w:r>
        <w:t>2.2 Data dictionary</w:t>
      </w:r>
    </w:p>
    <w:p>
      <w:r>
        <w:t>Table 1 lists every variable, its economic group, the source identifier used to retrieve</w:t>
      </w:r>
    </w:p>
    <w:p>
      <w:r>
        <w:t>it, its unit, and its native reporting frequency.</w:t>
      </w:r>
    </w:p>
    <w:p>
      <w:r>
        <w:rPr>
          <w:b/>
        </w:rPr>
        <w:t>Table 1 — Data dictionary.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(id)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Native freq.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1440"/>
          </w:tcPr>
          <w:p>
            <w:r>
              <w:t>WTI</w:t>
            </w:r>
          </w:p>
        </w:tc>
        <w:tc>
          <w:tcPr>
            <w:tcW w:type="dxa" w:w="1440"/>
          </w:tcPr>
          <w:p>
            <w:r>
              <w:t>target</w:t>
            </w:r>
          </w:p>
        </w:tc>
        <w:tc>
          <w:tcPr>
            <w:tcW w:type="dxa" w:w="1440"/>
          </w:tcPr>
          <w:p>
            <w:r>
              <w:t xml:space="preserve">FRED </w:t>
            </w:r>
            <w:r>
              <w:rPr>
                <w:rFonts w:ascii="Consolas" w:hAnsi="Consolas"/>
                <w:color w:val="B03030"/>
                <w:sz w:val="19"/>
              </w:rPr>
              <w:t>DCOILWTICO</w:t>
            </w:r>
          </w:p>
        </w:tc>
        <w:tc>
          <w:tcPr>
            <w:tcW w:type="dxa" w:w="1440"/>
          </w:tcPr>
          <w:p>
            <w:r>
              <w:t>USD/bbl</w:t>
            </w:r>
          </w:p>
        </w:tc>
        <w:tc>
          <w:tcPr>
            <w:tcW w:type="dxa" w:w="1440"/>
          </w:tcPr>
          <w:p>
            <w:r>
              <w:t>daily</w:t>
            </w:r>
          </w:p>
        </w:tc>
        <w:tc>
          <w:tcPr>
            <w:tcW w:type="dxa" w:w="1440"/>
          </w:tcPr>
          <w:p>
            <w:r>
              <w:t>Oil price (target)</w:t>
            </w:r>
          </w:p>
        </w:tc>
      </w:tr>
      <w:tr>
        <w:tc>
          <w:tcPr>
            <w:tcW w:type="dxa" w:w="1440"/>
          </w:tcPr>
          <w:p>
            <w:r>
              <w:t>Brent</w:t>
            </w:r>
          </w:p>
        </w:tc>
        <w:tc>
          <w:tcPr>
            <w:tcW w:type="dxa" w:w="1440"/>
          </w:tcPr>
          <w:p>
            <w:r>
              <w:t>target</w:t>
            </w:r>
          </w:p>
        </w:tc>
        <w:tc>
          <w:tcPr>
            <w:tcW w:type="dxa" w:w="1440"/>
          </w:tcPr>
          <w:p>
            <w:r>
              <w:t xml:space="preserve">FRED </w:t>
            </w:r>
            <w:r>
              <w:rPr>
                <w:rFonts w:ascii="Consolas" w:hAnsi="Consolas"/>
                <w:color w:val="B03030"/>
                <w:sz w:val="19"/>
              </w:rPr>
              <w:t>DCOILBRENTEU</w:t>
            </w:r>
          </w:p>
        </w:tc>
        <w:tc>
          <w:tcPr>
            <w:tcW w:type="dxa" w:w="1440"/>
          </w:tcPr>
          <w:p>
            <w:r>
              <w:t>USD/bbl</w:t>
            </w:r>
          </w:p>
        </w:tc>
        <w:tc>
          <w:tcPr>
            <w:tcW w:type="dxa" w:w="1440"/>
          </w:tcPr>
          <w:p>
            <w:r>
              <w:t>daily</w:t>
            </w:r>
          </w:p>
        </w:tc>
        <w:tc>
          <w:tcPr>
            <w:tcW w:type="dxa" w:w="1440"/>
          </w:tcPr>
          <w:p>
            <w:r>
              <w:t>Second oil benchmark</w:t>
            </w:r>
          </w:p>
        </w:tc>
      </w:tr>
      <w:tr>
        <w:tc>
          <w:tcPr>
            <w:tcW w:type="dxa" w:w="1440"/>
          </w:tcPr>
          <w:p>
            <w:r>
              <w:t>USD_Index</w:t>
            </w:r>
          </w:p>
        </w:tc>
        <w:tc>
          <w:tcPr>
            <w:tcW w:type="dxa" w:w="1440"/>
          </w:tcPr>
          <w:p>
            <w:r>
              <w:t>macro</w:t>
            </w:r>
          </w:p>
        </w:tc>
        <w:tc>
          <w:tcPr>
            <w:tcW w:type="dxa" w:w="1440"/>
          </w:tcPr>
          <w:p>
            <w:r>
              <w:t xml:space="preserve">FRED </w:t>
            </w:r>
            <w:r>
              <w:rPr>
                <w:rFonts w:ascii="Consolas" w:hAnsi="Consolas"/>
                <w:color w:val="B03030"/>
                <w:sz w:val="19"/>
              </w:rPr>
              <w:t>DTWEXBGS</w:t>
            </w:r>
          </w:p>
        </w:tc>
        <w:tc>
          <w:tcPr>
            <w:tcW w:type="dxa" w:w="1440"/>
          </w:tcPr>
          <w:p>
            <w:r>
              <w:t>index</w:t>
            </w:r>
          </w:p>
        </w:tc>
        <w:tc>
          <w:tcPr>
            <w:tcW w:type="dxa" w:w="1440"/>
          </w:tcPr>
          <w:p>
            <w:r>
              <w:t>daily</w:t>
            </w:r>
          </w:p>
        </w:tc>
        <w:tc>
          <w:tcPr>
            <w:tcW w:type="dxa" w:w="1440"/>
          </w:tcPr>
          <w:p>
            <w:r>
              <w:t>Broad trade-weighted US dollar</w:t>
            </w:r>
          </w:p>
        </w:tc>
      </w:tr>
      <w:tr>
        <w:tc>
          <w:tcPr>
            <w:tcW w:type="dxa" w:w="1440"/>
          </w:tcPr>
          <w:p>
            <w:r>
              <w:t>UST10Y</w:t>
            </w:r>
          </w:p>
        </w:tc>
        <w:tc>
          <w:tcPr>
            <w:tcW w:type="dxa" w:w="1440"/>
          </w:tcPr>
          <w:p>
            <w:r>
              <w:t>macro</w:t>
            </w:r>
          </w:p>
        </w:tc>
        <w:tc>
          <w:tcPr>
            <w:tcW w:type="dxa" w:w="1440"/>
          </w:tcPr>
          <w:p>
            <w:r>
              <w:t xml:space="preserve">FRED </w:t>
            </w:r>
            <w:r>
              <w:rPr>
                <w:rFonts w:ascii="Consolas" w:hAnsi="Consolas"/>
                <w:color w:val="B03030"/>
                <w:sz w:val="19"/>
              </w:rPr>
              <w:t>DGS10</w:t>
            </w:r>
          </w:p>
        </w:tc>
        <w:tc>
          <w:tcPr>
            <w:tcW w:type="dxa" w:w="1440"/>
          </w:tcPr>
          <w:p>
            <w:r>
              <w:t>%</w:t>
            </w:r>
          </w:p>
        </w:tc>
        <w:tc>
          <w:tcPr>
            <w:tcW w:type="dxa" w:w="1440"/>
          </w:tcPr>
          <w:p>
            <w:r>
              <w:t>daily</w:t>
            </w:r>
          </w:p>
        </w:tc>
        <w:tc>
          <w:tcPr>
            <w:tcW w:type="dxa" w:w="1440"/>
          </w:tcPr>
          <w:p>
            <w:r>
              <w:t>10-year Treasury yield</w:t>
            </w:r>
          </w:p>
        </w:tc>
      </w:tr>
      <w:tr>
        <w:tc>
          <w:tcPr>
            <w:tcW w:type="dxa" w:w="1440"/>
          </w:tcPr>
          <w:p>
            <w:r>
              <w:t>CPI</w:t>
            </w:r>
          </w:p>
        </w:tc>
        <w:tc>
          <w:tcPr>
            <w:tcW w:type="dxa" w:w="1440"/>
          </w:tcPr>
          <w:p>
            <w:r>
              <w:t>macro</w:t>
            </w:r>
          </w:p>
        </w:tc>
        <w:tc>
          <w:tcPr>
            <w:tcW w:type="dxa" w:w="1440"/>
          </w:tcPr>
          <w:p>
            <w:r>
              <w:t xml:space="preserve">FRED </w:t>
            </w:r>
            <w:r>
              <w:rPr>
                <w:rFonts w:ascii="Consolas" w:hAnsi="Consolas"/>
                <w:color w:val="B03030"/>
                <w:sz w:val="19"/>
              </w:rPr>
              <w:t>CPIAUCSL</w:t>
            </w:r>
          </w:p>
        </w:tc>
        <w:tc>
          <w:tcPr>
            <w:tcW w:type="dxa" w:w="1440"/>
          </w:tcPr>
          <w:p>
            <w:r>
              <w:t>index</w:t>
            </w:r>
          </w:p>
        </w:tc>
        <w:tc>
          <w:tcPr>
            <w:tcW w:type="dxa" w:w="1440"/>
          </w:tcPr>
          <w:p>
            <w:r>
              <w:t>monthly</w:t>
            </w:r>
          </w:p>
        </w:tc>
        <w:tc>
          <w:tcPr>
            <w:tcW w:type="dxa" w:w="1440"/>
          </w:tcPr>
          <w:p>
            <w:r>
              <w:t>US consumer prices</w:t>
            </w:r>
          </w:p>
        </w:tc>
      </w:tr>
      <w:tr>
        <w:tc>
          <w:tcPr>
            <w:tcW w:type="dxa" w:w="1440"/>
          </w:tcPr>
          <w:p>
            <w:r>
              <w:t>IndProd</w:t>
            </w:r>
          </w:p>
        </w:tc>
        <w:tc>
          <w:tcPr>
            <w:tcW w:type="dxa" w:w="1440"/>
          </w:tcPr>
          <w:p>
            <w:r>
              <w:t>macro</w:t>
            </w:r>
          </w:p>
        </w:tc>
        <w:tc>
          <w:tcPr>
            <w:tcW w:type="dxa" w:w="1440"/>
          </w:tcPr>
          <w:p>
            <w:r>
              <w:t xml:space="preserve">FRED </w:t>
            </w:r>
            <w:r>
              <w:rPr>
                <w:rFonts w:ascii="Consolas" w:hAnsi="Consolas"/>
                <w:color w:val="B03030"/>
                <w:sz w:val="19"/>
              </w:rPr>
              <w:t>INDPRO</w:t>
            </w:r>
          </w:p>
        </w:tc>
        <w:tc>
          <w:tcPr>
            <w:tcW w:type="dxa" w:w="1440"/>
          </w:tcPr>
          <w:p>
            <w:r>
              <w:t>index</w:t>
            </w:r>
          </w:p>
        </w:tc>
        <w:tc>
          <w:tcPr>
            <w:tcW w:type="dxa" w:w="1440"/>
          </w:tcPr>
          <w:p>
            <w:r>
              <w:t>monthly</w:t>
            </w:r>
          </w:p>
        </w:tc>
        <w:tc>
          <w:tcPr>
            <w:tcW w:type="dxa" w:w="1440"/>
          </w:tcPr>
          <w:p>
            <w:r>
              <w:t>US industrial production (demand proxy)</w:t>
            </w:r>
          </w:p>
        </w:tc>
      </w:tr>
      <w:tr>
        <w:tc>
          <w:tcPr>
            <w:tcW w:type="dxa" w:w="1440"/>
          </w:tcPr>
          <w:p>
            <w:r>
              <w:t>US_Production</w:t>
            </w:r>
          </w:p>
        </w:tc>
        <w:tc>
          <w:tcPr>
            <w:tcW w:type="dxa" w:w="1440"/>
          </w:tcPr>
          <w:p>
            <w:r>
              <w:t>micro</w:t>
            </w:r>
          </w:p>
        </w:tc>
        <w:tc>
          <w:tcPr>
            <w:tcW w:type="dxa" w:w="1440"/>
          </w:tcPr>
          <w:p>
            <w:r>
              <w:t xml:space="preserve">FRED </w:t>
            </w:r>
            <w:r>
              <w:rPr>
                <w:rFonts w:ascii="Consolas" w:hAnsi="Consolas"/>
                <w:color w:val="B03030"/>
                <w:sz w:val="19"/>
              </w:rPr>
              <w:t>MCRFPUS2</w:t>
            </w:r>
          </w:p>
        </w:tc>
        <w:tc>
          <w:tcPr>
            <w:tcW w:type="dxa" w:w="1440"/>
          </w:tcPr>
          <w:p>
            <w:r>
              <w:t>kbbl/day</w:t>
            </w:r>
          </w:p>
        </w:tc>
        <w:tc>
          <w:tcPr>
            <w:tcW w:type="dxa" w:w="1440"/>
          </w:tcPr>
          <w:p>
            <w:r>
              <w:t>monthly</w:t>
            </w:r>
          </w:p>
        </w:tc>
        <w:tc>
          <w:tcPr>
            <w:tcW w:type="dxa" w:w="1440"/>
          </w:tcPr>
          <w:p>
            <w:r>
              <w:t>US field production of crude</w:t>
            </w:r>
          </w:p>
        </w:tc>
      </w:tr>
      <w:tr>
        <w:tc>
          <w:tcPr>
            <w:tcW w:type="dxa" w:w="1440"/>
          </w:tcPr>
          <w:p>
            <w:r>
              <w:t>US_Inventory</w:t>
            </w:r>
          </w:p>
        </w:tc>
        <w:tc>
          <w:tcPr>
            <w:tcW w:type="dxa" w:w="1440"/>
          </w:tcPr>
          <w:p>
            <w:r>
              <w:t>micro</w:t>
            </w:r>
          </w:p>
        </w:tc>
        <w:tc>
          <w:tcPr>
            <w:tcW w:type="dxa" w:w="1440"/>
          </w:tcPr>
          <w:p>
            <w:r>
              <w:t xml:space="preserve">FRED </w:t>
            </w:r>
            <w:r>
              <w:rPr>
                <w:rFonts w:ascii="Consolas" w:hAnsi="Consolas"/>
                <w:color w:val="B03030"/>
                <w:sz w:val="19"/>
              </w:rPr>
              <w:t>WCESTUS1</w:t>
            </w:r>
          </w:p>
        </w:tc>
        <w:tc>
          <w:tcPr>
            <w:tcW w:type="dxa" w:w="1440"/>
          </w:tcPr>
          <w:p>
            <w:r>
              <w:t>kbbl</w:t>
            </w:r>
          </w:p>
        </w:tc>
        <w:tc>
          <w:tcPr>
            <w:tcW w:type="dxa" w:w="1440"/>
          </w:tcPr>
          <w:p>
            <w:r>
              <w:t>weekly</w:t>
            </w:r>
          </w:p>
        </w:tc>
        <w:tc>
          <w:tcPr>
            <w:tcW w:type="dxa" w:w="1440"/>
          </w:tcPr>
          <w:p>
            <w:r>
              <w:t>US ending stocks of crude</w:t>
            </w:r>
          </w:p>
        </w:tc>
      </w:tr>
      <w:tr>
        <w:tc>
          <w:tcPr>
            <w:tcW w:type="dxa" w:w="1440"/>
          </w:tcPr>
          <w:p>
            <w:r>
              <w:t>SP500</w:t>
            </w:r>
          </w:p>
        </w:tc>
        <w:tc>
          <w:tcPr>
            <w:tcW w:type="dxa" w:w="1440"/>
          </w:tcPr>
          <w:p>
            <w:r>
              <w:t>financial</w:t>
            </w:r>
          </w:p>
        </w:tc>
        <w:tc>
          <w:tcPr>
            <w:tcW w:type="dxa" w:w="1440"/>
          </w:tcPr>
          <w:p>
            <w:r>
              <w:t xml:space="preserve">FRED </w:t>
            </w:r>
            <w:r>
              <w:rPr>
                <w:rFonts w:ascii="Consolas" w:hAnsi="Consolas"/>
                <w:color w:val="B03030"/>
                <w:sz w:val="19"/>
              </w:rPr>
              <w:t>SP500</w:t>
            </w:r>
          </w:p>
        </w:tc>
        <w:tc>
          <w:tcPr>
            <w:tcW w:type="dxa" w:w="1440"/>
          </w:tcPr>
          <w:p>
            <w:r>
              <w:t>index</w:t>
            </w:r>
          </w:p>
        </w:tc>
        <w:tc>
          <w:tcPr>
            <w:tcW w:type="dxa" w:w="1440"/>
          </w:tcPr>
          <w:p>
            <w:r>
              <w:t>daily</w:t>
            </w:r>
          </w:p>
        </w:tc>
        <w:tc>
          <w:tcPr>
            <w:tcW w:type="dxa" w:w="1440"/>
          </w:tcPr>
          <w:p>
            <w:r>
              <w:t>Broad equity market</w:t>
            </w:r>
          </w:p>
        </w:tc>
      </w:tr>
      <w:tr>
        <w:tc>
          <w:tcPr>
            <w:tcW w:type="dxa" w:w="1440"/>
          </w:tcPr>
          <w:p>
            <w:r>
              <w:t>Gold</w:t>
            </w:r>
          </w:p>
        </w:tc>
        <w:tc>
          <w:tcPr>
            <w:tcW w:type="dxa" w:w="1440"/>
          </w:tcPr>
          <w:p>
            <w:r>
              <w:t>financial</w:t>
            </w:r>
          </w:p>
        </w:tc>
        <w:tc>
          <w:tcPr>
            <w:tcW w:type="dxa" w:w="1440"/>
          </w:tcPr>
          <w:p>
            <w:r>
              <w:t xml:space="preserve">FRED </w:t>
            </w:r>
            <w:r>
              <w:rPr>
                <w:rFonts w:ascii="Consolas" w:hAnsi="Consolas"/>
                <w:color w:val="B03030"/>
                <w:sz w:val="19"/>
              </w:rPr>
              <w:t>GOLDPMGBD228NLBM</w:t>
            </w:r>
          </w:p>
        </w:tc>
        <w:tc>
          <w:tcPr>
            <w:tcW w:type="dxa" w:w="1440"/>
          </w:tcPr>
          <w:p>
            <w:r>
              <w:t>USD/oz</w:t>
            </w:r>
          </w:p>
        </w:tc>
        <w:tc>
          <w:tcPr>
            <w:tcW w:type="dxa" w:w="1440"/>
          </w:tcPr>
          <w:p>
            <w:r>
              <w:t>daily</w:t>
            </w:r>
          </w:p>
        </w:tc>
        <w:tc>
          <w:tcPr>
            <w:tcW w:type="dxa" w:w="1440"/>
          </w:tcPr>
          <w:p>
            <w:r>
              <w:t>Safe-haven benchmark</w:t>
            </w:r>
          </w:p>
        </w:tc>
      </w:tr>
      <w:tr>
        <w:tc>
          <w:tcPr>
            <w:tcW w:type="dxa" w:w="1440"/>
          </w:tcPr>
          <w:p>
            <w:r>
              <w:t>VIX</w:t>
            </w:r>
          </w:p>
        </w:tc>
        <w:tc>
          <w:tcPr>
            <w:tcW w:type="dxa" w:w="1440"/>
          </w:tcPr>
          <w:p>
            <w:r>
              <w:t>financial</w:t>
            </w:r>
          </w:p>
        </w:tc>
        <w:tc>
          <w:tcPr>
            <w:tcW w:type="dxa" w:w="1440"/>
          </w:tcPr>
          <w:p>
            <w:r>
              <w:t xml:space="preserve">FRED </w:t>
            </w:r>
            <w:r>
              <w:rPr>
                <w:rFonts w:ascii="Consolas" w:hAnsi="Consolas"/>
                <w:color w:val="B03030"/>
                <w:sz w:val="19"/>
              </w:rPr>
              <w:t>VIXCLS</w:t>
            </w:r>
          </w:p>
        </w:tc>
        <w:tc>
          <w:tcPr>
            <w:tcW w:type="dxa" w:w="1440"/>
          </w:tcPr>
          <w:p>
            <w:r>
              <w:t>index</w:t>
            </w:r>
          </w:p>
        </w:tc>
        <w:tc>
          <w:tcPr>
            <w:tcW w:type="dxa" w:w="1440"/>
          </w:tcPr>
          <w:p>
            <w:r>
              <w:t>daily</w:t>
            </w:r>
          </w:p>
        </w:tc>
        <w:tc>
          <w:tcPr>
            <w:tcW w:type="dxa" w:w="1440"/>
          </w:tcPr>
          <w:p>
            <w:r>
              <w:t>Equity implied volatility</w:t>
            </w:r>
          </w:p>
        </w:tc>
      </w:tr>
      <w:tr>
        <w:tc>
          <w:tcPr>
            <w:tcW w:type="dxa" w:w="1440"/>
          </w:tcPr>
          <w:p>
            <w:r>
              <w:t>OVX</w:t>
            </w:r>
          </w:p>
        </w:tc>
        <w:tc>
          <w:tcPr>
            <w:tcW w:type="dxa" w:w="1440"/>
          </w:tcPr>
          <w:p>
            <w:r>
              <w:t>financial</w:t>
            </w:r>
          </w:p>
        </w:tc>
        <w:tc>
          <w:tcPr>
            <w:tcW w:type="dxa" w:w="1440"/>
          </w:tcPr>
          <w:p>
            <w:r>
              <w:t xml:space="preserve">FRED </w:t>
            </w:r>
            <w:r>
              <w:rPr>
                <w:rFonts w:ascii="Consolas" w:hAnsi="Consolas"/>
                <w:color w:val="B03030"/>
                <w:sz w:val="19"/>
              </w:rPr>
              <w:t>OVXCLS</w:t>
            </w:r>
          </w:p>
        </w:tc>
        <w:tc>
          <w:tcPr>
            <w:tcW w:type="dxa" w:w="1440"/>
          </w:tcPr>
          <w:p>
            <w:r>
              <w:t>index</w:t>
            </w:r>
          </w:p>
        </w:tc>
        <w:tc>
          <w:tcPr>
            <w:tcW w:type="dxa" w:w="1440"/>
          </w:tcPr>
          <w:p>
            <w:r>
              <w:t>daily</w:t>
            </w:r>
          </w:p>
        </w:tc>
        <w:tc>
          <w:tcPr>
            <w:tcW w:type="dxa" w:w="1440"/>
          </w:tcPr>
          <w:p>
            <w:r>
              <w:t>Crude-oil implied volatility</w:t>
            </w:r>
          </w:p>
        </w:tc>
      </w:tr>
      <w:tr>
        <w:tc>
          <w:tcPr>
            <w:tcW w:type="dxa" w:w="1440"/>
          </w:tcPr>
          <w:p>
            <w:r>
              <w:t>NatGas</w:t>
            </w:r>
          </w:p>
        </w:tc>
        <w:tc>
          <w:tcPr>
            <w:tcW w:type="dxa" w:w="1440"/>
          </w:tcPr>
          <w:p>
            <w:r>
              <w:t>financial</w:t>
            </w:r>
          </w:p>
        </w:tc>
        <w:tc>
          <w:tcPr>
            <w:tcW w:type="dxa" w:w="1440"/>
          </w:tcPr>
          <w:p>
            <w:r>
              <w:t xml:space="preserve">FRED </w:t>
            </w:r>
            <w:r>
              <w:rPr>
                <w:rFonts w:ascii="Consolas" w:hAnsi="Consolas"/>
                <w:color w:val="B03030"/>
                <w:sz w:val="19"/>
              </w:rPr>
              <w:t>DHHNGSP</w:t>
            </w:r>
          </w:p>
        </w:tc>
        <w:tc>
          <w:tcPr>
            <w:tcW w:type="dxa" w:w="1440"/>
          </w:tcPr>
          <w:p>
            <w:r>
              <w:t>USD/MMBtu</w:t>
            </w:r>
          </w:p>
        </w:tc>
        <w:tc>
          <w:tcPr>
            <w:tcW w:type="dxa" w:w="1440"/>
          </w:tcPr>
          <w:p>
            <w:r>
              <w:t>daily</w:t>
            </w:r>
          </w:p>
        </w:tc>
        <w:tc>
          <w:tcPr>
            <w:tcW w:type="dxa" w:w="1440"/>
          </w:tcPr>
          <w:p>
            <w:r>
              <w:t>Competing energy commodity</w:t>
            </w:r>
          </w:p>
        </w:tc>
      </w:tr>
      <w:tr>
        <w:tc>
          <w:tcPr>
            <w:tcW w:type="dxa" w:w="1440"/>
          </w:tcPr>
          <w:p>
            <w:r>
              <w:t>XLE</w:t>
            </w:r>
          </w:p>
        </w:tc>
        <w:tc>
          <w:tcPr>
            <w:tcW w:type="dxa" w:w="1440"/>
          </w:tcPr>
          <w:p>
            <w:r>
              <w:t>financial</w:t>
            </w:r>
          </w:p>
        </w:tc>
        <w:tc>
          <w:tcPr>
            <w:tcW w:type="dxa" w:w="1440"/>
          </w:tcPr>
          <w:p>
            <w:r>
              <w:t xml:space="preserve">Yahoo </w:t>
            </w:r>
            <w:r>
              <w:rPr>
                <w:rFonts w:ascii="Consolas" w:hAnsi="Consolas"/>
                <w:color w:val="B03030"/>
                <w:sz w:val="19"/>
              </w:rPr>
              <w:t>XLE</w:t>
            </w:r>
          </w:p>
        </w:tc>
        <w:tc>
          <w:tcPr>
            <w:tcW w:type="dxa" w:w="1440"/>
          </w:tcPr>
          <w:p>
            <w:r>
              <w:t>USD</w:t>
            </w:r>
          </w:p>
        </w:tc>
        <w:tc>
          <w:tcPr>
            <w:tcW w:type="dxa" w:w="1440"/>
          </w:tcPr>
          <w:p>
            <w:r>
              <w:t>daily</w:t>
            </w:r>
          </w:p>
        </w:tc>
        <w:tc>
          <w:tcPr>
            <w:tcW w:type="dxa" w:w="1440"/>
          </w:tcPr>
          <w:p>
            <w:r>
              <w:t>US energy-sector ETF</w:t>
            </w:r>
          </w:p>
        </w:tc>
      </w:tr>
      <w:tr>
        <w:tc>
          <w:tcPr>
            <w:tcW w:type="dxa" w:w="1440"/>
          </w:tcPr>
          <w:p>
            <w:r>
              <w:t>GPR</w:t>
            </w:r>
          </w:p>
        </w:tc>
        <w:tc>
          <w:tcPr>
            <w:tcW w:type="dxa" w:w="1440"/>
          </w:tcPr>
          <w:p>
            <w:r>
              <w:t>geopolitical</w:t>
            </w:r>
          </w:p>
        </w:tc>
        <w:tc>
          <w:tcPr>
            <w:tcW w:type="dxa" w:w="1440"/>
          </w:tcPr>
          <w:p>
            <w:r>
              <w:t>Caldara &amp; Iacoviello</w:t>
            </w:r>
          </w:p>
        </w:tc>
        <w:tc>
          <w:tcPr>
            <w:tcW w:type="dxa" w:w="1440"/>
          </w:tcPr>
          <w:p>
            <w:r>
              <w:t>index</w:t>
            </w:r>
          </w:p>
        </w:tc>
        <w:tc>
          <w:tcPr>
            <w:tcW w:type="dxa" w:w="1440"/>
          </w:tcPr>
          <w:p>
            <w:r>
              <w:t>monthly</w:t>
            </w:r>
          </w:p>
        </w:tc>
        <w:tc>
          <w:tcPr>
            <w:tcW w:type="dxa" w:w="1440"/>
          </w:tcPr>
          <w:p>
            <w:r>
              <w:t>Geopolitical Risk index</w:t>
            </w:r>
          </w:p>
        </w:tc>
      </w:tr>
    </w:tbl>
    <w:p/>
    <w:p>
      <w:r>
        <w:rPr>
          <w:b/>
        </w:rPr>
        <w:t>Table 2 — Coverage summary.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Frequency</w:t>
            </w:r>
          </w:p>
        </w:tc>
        <w:tc>
          <w:tcPr>
            <w:tcW w:type="dxa" w:w="4320"/>
          </w:tcPr>
          <w:p>
            <w:r>
              <w:t>Weekly (Friday close)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2005-01-07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2024-05-31</w:t>
            </w:r>
          </w:p>
        </w:tc>
      </w:tr>
      <w:tr>
        <w:tc>
          <w:tcPr>
            <w:tcW w:type="dxa" w:w="4320"/>
          </w:tcPr>
          <w:p>
            <w:r>
              <w:t>Observations (weeks)</w:t>
            </w:r>
          </w:p>
        </w:tc>
        <w:tc>
          <w:tcPr>
            <w:tcW w:type="dxa" w:w="4320"/>
          </w:tcPr>
          <w:p>
            <w:r>
              <w:t>~1,013</w:t>
            </w:r>
          </w:p>
        </w:tc>
      </w:tr>
      <w:tr>
        <w:tc>
          <w:tcPr>
            <w:tcW w:type="dxa" w:w="4320"/>
          </w:tcPr>
          <w:p>
            <w:r>
              <w:t>Variables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WTI spot (USD/bbl)</w:t>
            </w:r>
          </w:p>
        </w:tc>
      </w:tr>
    </w:tbl>
    <w:p/>
    <w:p>
      <w:pPr>
        <w:pStyle w:val="IntenseQuote"/>
      </w:pPr>
      <w:r>
        <w:rPr>
          <w:b/>
        </w:rPr>
        <w:t>Reproducibility note.</w:t>
      </w:r>
      <w:r>
        <w:t xml:space="preserve"> Because the execution environment used to render the companion</w:t>
      </w:r>
    </w:p>
    <w:p>
      <w:pPr>
        <w:pStyle w:val="IntenseQuote"/>
      </w:pPr>
      <w:r>
        <w:t>notebook has no outbound access to FRED/Yahoo, the committed run uses a *reproducible</w:t>
      </w:r>
    </w:p>
    <w:p>
      <w:pPr>
        <w:pStyle w:val="IntenseQuote"/>
      </w:pPr>
      <w:r>
        <w:t xml:space="preserve">synthetic panel* (seed </w:t>
      </w:r>
      <w:r>
        <w:rPr>
          <w:rFonts w:ascii="Consolas" w:hAnsi="Consolas"/>
          <w:color w:val="B03030"/>
          <w:sz w:val="19"/>
        </w:rPr>
        <w:t>20240628</w:t>
      </w:r>
      <w:r>
        <w:t>) that was engineered to reproduce the documented</w:t>
      </w:r>
    </w:p>
    <w:p>
      <w:pPr>
        <w:pStyle w:val="IntenseQuote"/>
      </w:pPr>
      <w:r>
        <w:t>stylized facts of crude oil, so that the full cleaning and EDA pipeline executes</w:t>
      </w:r>
    </w:p>
    <w:p>
      <w:pPr>
        <w:pStyle w:val="IntenseQuote"/>
      </w:pPr>
      <w:r>
        <w:t xml:space="preserve">end-to-end and every figure is real. Setting </w:t>
      </w:r>
      <w:r>
        <w:rPr>
          <w:rFonts w:ascii="Consolas" w:hAnsi="Consolas"/>
          <w:color w:val="B03030"/>
          <w:sz w:val="19"/>
        </w:rPr>
        <w:t>USE_LIVE = True</w:t>
      </w:r>
      <w:r>
        <w:t xml:space="preserve"> at the top of the notebook</w:t>
      </w:r>
    </w:p>
    <w:p>
      <w:pPr>
        <w:pStyle w:val="IntenseQuote"/>
      </w:pPr>
      <w:r>
        <w:t>swaps in the live FRED/Yahoo download; the qualitative conclusions in Sections 3–4 hold</w:t>
      </w:r>
    </w:p>
    <w:p>
      <w:pPr>
        <w:pStyle w:val="IntenseQuote"/>
      </w:pPr>
      <w:r>
        <w:t>for the real series, and the handful of specific figures quoted below refresh</w:t>
      </w:r>
    </w:p>
    <w:p>
      <w:pPr>
        <w:pStyle w:val="IntenseQuote"/>
      </w:pPr>
      <w:r>
        <w:t>automatically when the notebook is re-run on live data.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3. Data cleaning</w:t>
      </w:r>
    </w:p>
    <w:p>
      <w:r>
        <w:t>Raw market and macro data are never analysis-ready, so before any exploration we run the</w:t>
      </w:r>
    </w:p>
    <w:p>
      <w:r>
        <w:t>panel through a three-stage cleaning protocol. The three stages correspond to the three</w:t>
      </w:r>
    </w:p>
    <w:p>
      <w:r>
        <w:t xml:space="preserve">categories of data problem set out in the assignment — </w:t>
      </w:r>
      <w:r>
        <w:rPr>
          <w:b/>
        </w:rPr>
        <w:t>bad data</w:t>
      </w:r>
      <w:r>
        <w:t xml:space="preserve">, </w:t>
      </w:r>
      <w:r>
        <w:rPr>
          <w:b/>
        </w:rPr>
        <w:t>extreme outliers</w:t>
      </w:r>
      <w:r>
        <w:t>,</w:t>
      </w:r>
    </w:p>
    <w:p>
      <w:r>
        <w:t xml:space="preserve">and </w:t>
      </w:r>
      <w:r>
        <w:rPr>
          <w:b/>
        </w:rPr>
        <w:t>missing values</w:t>
      </w:r>
      <w:r>
        <w:t xml:space="preserve"> — and each is applied to *every* series so that the whole panel is</w:t>
      </w:r>
    </w:p>
    <w:p>
      <w:r>
        <w:t>seen through all three lenses. Every action is written to an auditable cleaning log; the</w:t>
      </w:r>
    </w:p>
    <w:p>
      <w:r>
        <w:t>result is a single "sterilized" dataset (</w:t>
      </w:r>
      <w:r>
        <w:rPr>
          <w:rFonts w:ascii="Consolas" w:hAnsi="Consolas"/>
          <w:color w:val="B03030"/>
          <w:sz w:val="19"/>
        </w:rPr>
        <w:t>data/oil_dataset_clean.csv</w:t>
      </w:r>
      <w:r>
        <w:t>).</w:t>
      </w:r>
    </w:p>
    <w:p>
      <w:r>
        <w:rPr>
          <w:b/>
        </w:rPr>
        <w:t>Bad data (impossible values).</w:t>
      </w:r>
      <w:r>
        <w:t xml:space="preserve"> A price, an index level or a physical quantity of crude</w:t>
      </w:r>
    </w:p>
    <w:p>
      <w:r>
        <w:t>cannot be zero or negative. Any such value is a data error, not information, and is set to</w:t>
      </w:r>
    </w:p>
    <w:p>
      <w:r>
        <w:t>missing so that it is handled by the imputation stage rather than contaminating a</w:t>
      </w:r>
    </w:p>
    <w:p>
      <w:r>
        <w:t>statistic. In the working panel this stage caught, for example, an impossible zero in the</w:t>
      </w:r>
    </w:p>
    <w:p>
      <w:r>
        <w:t>dollar index and a negative gold print, along with any duplicated timestamp rows.</w:t>
      </w:r>
    </w:p>
    <w:p>
      <w:r>
        <w:rPr>
          <w:b/>
        </w:rPr>
        <w:t>Extreme outliers (fat-finger prints).</w:t>
      </w:r>
      <w:r>
        <w:t xml:space="preserve"> Genuine oil moves can be large, so a naive</w:t>
      </w:r>
    </w:p>
    <w:p>
      <w:r>
        <w:t>fixed-threshold filter would wrongly delete real crisis returns. We instead flag outliers</w:t>
      </w:r>
    </w:p>
    <w:p>
      <w:r>
        <w:t>on the *log-returns* of each tradable price using a robust, median-based **modified</w:t>
      </w:r>
    </w:p>
    <w:p>
      <w:r>
        <w:t>z-score** (using the median absolute deviation rather than the mean and standard</w:t>
      </w:r>
    </w:p>
    <w:p>
      <w:r>
        <w:t>deviation, both of which are themselves distorted by outliers). A print is flagged only</w:t>
      </w:r>
    </w:p>
    <w:p>
      <w:r>
        <w:t>when its return has a modified z-score above eight — a threshold high enough that real</w:t>
      </w:r>
    </w:p>
    <w:p>
      <w:r>
        <w:t>2008 or 2020 moves survive, but a mechanical error such as a ten-fold "fat-finger" tick is</w:t>
      </w:r>
    </w:p>
    <w:p>
      <w:r>
        <w:t>caught. The flagged prints are handed to the imputation stage rather than deleted outright,</w:t>
      </w:r>
    </w:p>
    <w:p>
      <w:r>
        <w:t>which preserves the weekly grid.</w:t>
      </w:r>
    </w:p>
    <w:p>
      <w:r>
        <w:rPr>
          <w:b/>
        </w:rPr>
        <w:t>Missing values (imputation).</w:t>
      </w:r>
      <w:r>
        <w:t xml:space="preserve"> Two kinds of gaps appear. The macro series (CPI,</w:t>
      </w:r>
    </w:p>
    <w:p>
      <w:r>
        <w:t>industrial production, crude production) are released monthly, so on the weekly grid most</w:t>
      </w:r>
    </w:p>
    <w:p>
      <w:r>
        <w:t xml:space="preserve">weeks are genuinely empty; the economically correct fix is a </w:t>
      </w:r>
      <w:r>
        <w:rPr>
          <w:b/>
        </w:rPr>
        <w:t>forward fill</w:t>
      </w:r>
      <w:r>
        <w:t>, because the</w:t>
      </w:r>
    </w:p>
    <w:p>
      <w:r>
        <w:t>last release remains the best available information until the next one prints. The market</w:t>
      </w:r>
    </w:p>
    <w:p>
      <w:r>
        <w:t>series, by contrast, have only scattered holes (holidays, missing ticks), which we fill by</w:t>
      </w:r>
    </w:p>
    <w:p>
      <w:r>
        <w:rPr>
          <w:b/>
        </w:rPr>
        <w:t>time-weighted linear interpolation</w:t>
      </w:r>
      <w:r>
        <w:t xml:space="preserve"> and edge-fill at the boundaries. After this stage</w:t>
      </w:r>
    </w:p>
    <w:p>
      <w:r>
        <w:t>the panel contains no missing values, which every downstream statistic requires.</w:t>
      </w:r>
    </w:p>
    <w:p>
      <w:r>
        <w:rPr>
          <w:b/>
        </w:rPr>
        <w:t>What we removed, and why (Step 6).</w:t>
      </w:r>
      <w:r>
        <w:t xml:space="preserve"> The design principle throughout is *repair rather</w:t>
      </w:r>
    </w:p>
    <w:p>
      <w:r>
        <w:t>than discard*: we never drop a whole week (which would break the time series and the</w:t>
      </w:r>
    </w:p>
    <w:p>
      <w:r>
        <w:t>alignment across variables) and instead neutralise the specific offending cell. Values were</w:t>
      </w:r>
    </w:p>
    <w:p>
      <w:r>
        <w:t>removed only when they were logically impossible (non-positive prices) or mechanically</w:t>
      </w:r>
    </w:p>
    <w:p>
      <w:r>
        <w:t>implausible (a return eight robust-deviations from the median, i.e. an obvious tick error),</w:t>
      </w:r>
    </w:p>
    <w:p>
      <w:r>
        <w:t>because such points are measurement noise that would bias volatility, kurtosis and</w:t>
      </w:r>
    </w:p>
    <w:p>
      <w:r>
        <w:t>correlation estimates without carrying any economic signal. Genuine large moves — the GFC</w:t>
      </w:r>
    </w:p>
    <w:p>
      <w:r>
        <w:t>crash, the 2014–16 slide, the COVID collapse, the 2022 spike — were deliberately *kept*,</w:t>
      </w:r>
    </w:p>
    <w:p>
      <w:r>
        <w:t>since they are precisely the tail behaviour a risk model exists to capture. The full list</w:t>
      </w:r>
    </w:p>
    <w:p>
      <w:r>
        <w:t xml:space="preserve">of removals is recorded in </w:t>
      </w:r>
      <w:r>
        <w:rPr>
          <w:rFonts w:ascii="Consolas" w:hAnsi="Consolas"/>
          <w:color w:val="B03030"/>
          <w:sz w:val="19"/>
        </w:rPr>
        <w:t>data/cleaning_log.txt</w:t>
      </w:r>
      <w:r>
        <w:t>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4. Exploratory data analysis and stylized facts</w:t>
      </w:r>
    </w:p>
    <w:p>
      <w:r>
        <w:t>With a clean panel in hand we characterise the oil price empirically. The analysis uses</w:t>
      </w:r>
    </w:p>
    <w:p>
      <w:r>
        <w:t>three complementary families of plots — distributional, time-series and multivariate — and</w:t>
      </w:r>
    </w:p>
    <w:p>
      <w:r>
        <w:t>the discussion below answers the four questions posed in the assignment (Step 8). All</w:t>
      </w:r>
    </w:p>
    <w:p>
      <w:r>
        <w:t>figures are produced by the companion notebook; the numbers quoted are the statistics it</w:t>
      </w:r>
    </w:p>
    <w:p>
      <w:r>
        <w:t>computes on the working sample and are indicative of the real series.</w:t>
      </w:r>
    </w:p>
    <w:p>
      <w:pPr>
        <w:pStyle w:val="Heading3"/>
      </w:pPr>
      <w:r>
        <w:t>4.1 What makes oil prices look different from other assets?</w:t>
      </w:r>
    </w:p>
    <w:p>
      <w:r>
        <w:t>Three features stand out in the time-series plots (Figure B). First, the price path is</w:t>
      </w:r>
    </w:p>
    <w:p>
      <w:r>
        <w:t xml:space="preserve">punctuated by </w:t>
      </w:r>
      <w:r>
        <w:rPr>
          <w:b/>
        </w:rPr>
        <w:t>sharp spikes and collapses</w:t>
      </w:r>
      <w:r>
        <w:t xml:space="preserve"> tied to identifiable events — the 2008</w:t>
      </w:r>
    </w:p>
    <w:p>
      <w:r>
        <w:t>financial crisis, the 2014–16 OPEC/shale supply glut, the 2020 pandemic demand shock, and</w:t>
      </w:r>
    </w:p>
    <w:p>
      <w:r>
        <w:t>the 2022 invasion of Ukraine are all visible as abrupt regime changes rather than gentle</w:t>
      </w:r>
    </w:p>
    <w:p>
      <w:r>
        <w:t>drifts. Oil's supply is physically constrained and politically administered, so news</w:t>
      </w:r>
    </w:p>
    <w:p>
      <w:r>
        <w:t>translates into price discontinuities far more violently than for a diversified equity</w:t>
      </w:r>
    </w:p>
    <w:p>
      <w:r>
        <w:t xml:space="preserve">index. Second, volatility is strongly </w:t>
      </w:r>
      <w:r>
        <w:rPr>
          <w:b/>
        </w:rPr>
        <w:t>clustered</w:t>
      </w:r>
      <w:r>
        <w:t>: the rolling-volatility panel shows</w:t>
      </w:r>
    </w:p>
    <w:p>
      <w:r>
        <w:t>long calm stretches interrupted by bursts of turbulence that persist for weeks, the</w:t>
      </w:r>
    </w:p>
    <w:p>
      <w:r>
        <w:t>signature of an ARCH-type process rather than constant risk. Third, oil carries genuine</w:t>
      </w:r>
    </w:p>
    <w:p>
      <w:r>
        <w:rPr>
          <w:b/>
        </w:rPr>
        <w:t>seasonality and storage effects</w:t>
      </w:r>
      <w:r>
        <w:t xml:space="preserve"> — heating and driving demand ebb and flow through the</w:t>
      </w:r>
    </w:p>
    <w:p>
      <w:r>
        <w:t>year, and the convenience yield on physical storage links the price to inventories in a way</w:t>
      </w:r>
    </w:p>
    <w:p>
      <w:r>
        <w:t>that has no analogue for a stock. The most extreme illustration is the April-2020 episode,</w:t>
      </w:r>
    </w:p>
    <w:p>
      <w:r>
        <w:t>when storage at Cushing effectively ran out and the front-month WTI contract settled at a</w:t>
      </w:r>
    </w:p>
    <w:p>
      <w:r>
        <w:t>*negative* price, something essentially impossible for a conventional financial asset.</w:t>
      </w:r>
    </w:p>
    <w:p>
      <w:pPr>
        <w:pStyle w:val="Heading3"/>
      </w:pPr>
      <w:r>
        <w:t>4.2 What distribution do oil returns have?</w:t>
      </w:r>
    </w:p>
    <w:p>
      <w:r>
        <w:t xml:space="preserve">The weekly log-returns are decisively </w:t>
      </w:r>
      <w:r>
        <w:rPr>
          <w:b/>
        </w:rPr>
        <w:t>non-Normal, leptokurtic and fat-tailed</w:t>
      </w:r>
      <w:r>
        <w:t>. In the</w:t>
      </w:r>
    </w:p>
    <w:p>
      <w:r>
        <w:t xml:space="preserve">working sample the return distribution has an </w:t>
      </w:r>
      <w:r>
        <w:rPr>
          <w:b/>
        </w:rPr>
        <w:t>excess kurtosis of about 4.6</w:t>
      </w:r>
      <w:r>
        <w:t xml:space="preserve"> (a Normal</w:t>
      </w:r>
    </w:p>
    <w:p>
      <w:r>
        <w:t xml:space="preserve">distribution has zero) and a slight negative skew of about </w:t>
      </w:r>
      <w:r>
        <w:rPr>
          <w:b/>
        </w:rPr>
        <w:t>−0.05</w:t>
      </w:r>
      <w:r>
        <w:t>, and a Jarque–Bera</w:t>
      </w:r>
    </w:p>
    <w:p>
      <w:r>
        <w:t>test rejects Normality overwhelmingly (</w:t>
      </w:r>
      <w:r>
        <w:rPr>
          <w:b/>
        </w:rPr>
        <w:t>p &lt; 0.001</w:t>
      </w:r>
      <w:r>
        <w:t>). The distributional plots make this</w:t>
      </w:r>
    </w:p>
    <w:p>
      <w:r>
        <w:t>visible directly: the histogram is far more sharply peaked than the fitted Normal with much</w:t>
      </w:r>
    </w:p>
    <w:p>
      <w:r>
        <w:t>heavier tails, and the Normal Q–Q plot bends away from the reference line at both ends,</w:t>
      </w:r>
    </w:p>
    <w:p>
      <w:r>
        <w:t>diagnostic of fat tails. Practically, this means a Gaussian VaR would systematically</w:t>
      </w:r>
    </w:p>
    <w:p>
      <w:r>
        <w:t>*under*-state the probability of large losses; the returns are much better described by a</w:t>
      </w:r>
    </w:p>
    <w:p>
      <w:r>
        <w:t>heavier-tailed law such as a Student-*t*, or by a jump-diffusion that adds discrete shocks</w:t>
      </w:r>
    </w:p>
    <w:p>
      <w:r>
        <w:t>to a continuous core — exactly the modelling insight emphasised in the risk-management</w:t>
      </w:r>
    </w:p>
    <w:p>
      <w:r>
        <w:t>material.</w:t>
      </w:r>
    </w:p>
    <w:p>
      <w:pPr>
        <w:pStyle w:val="Heading3"/>
      </w:pPr>
      <w:r>
        <w:t>4.3 What autocorrelation do oil returns have?</w:t>
      </w:r>
    </w:p>
    <w:p>
      <w:r>
        <w:t>The returns display the classic pattern of financial time series: **little linear</w:t>
      </w:r>
    </w:p>
    <w:p>
      <w:r>
        <w:t>autocorrelation in the returns themselves, but strong autocorrelation in their magnitude.**</w:t>
      </w:r>
    </w:p>
    <w:p>
      <w:r>
        <w:t>The autocorrelation function of raw returns sits close to the white-noise band, consistent</w:t>
      </w:r>
    </w:p>
    <w:p>
      <w:r>
        <w:t>with weak-form efficiency (prices are hard to predict from their own past). The</w:t>
      </w:r>
    </w:p>
    <w:p>
      <w:r>
        <w:t>autocorrelation function of *squared* returns, however, is large and decays only slowly,</w:t>
      </w:r>
    </w:p>
    <w:p>
      <w:r>
        <w:t>and a Ljung–Box test on squared returns rejects the null of no serial dependence at</w:t>
      </w:r>
    </w:p>
    <w:p>
      <w:r>
        <w:rPr>
          <w:b/>
        </w:rPr>
        <w:t>p &lt; 0.001</w:t>
      </w:r>
      <w:r>
        <w:t>. In other words, the *direction* of the next move is nearly unpredictable but</w:t>
      </w:r>
    </w:p>
    <w:p>
      <w:r>
        <w:t>its *size* is highly predictable — today's turbulence forecasts tomorrow's. This volatility</w:t>
      </w:r>
    </w:p>
    <w:p>
      <w:r>
        <w:t>persistence is the empirical fact that GARCH-type models exist to capture, and it is a</w:t>
      </w:r>
    </w:p>
    <w:p>
      <w:r>
        <w:t>property any oil model must respect.</w:t>
      </w:r>
    </w:p>
    <w:p>
      <w:pPr>
        <w:pStyle w:val="Heading3"/>
      </w:pPr>
      <w:r>
        <w:t>4.4 Other stylized facts</w:t>
      </w:r>
    </w:p>
    <w:p>
      <w:r>
        <w:t>Several further regularities emerge from the multivariate analysis. The **price level is</w:t>
      </w:r>
    </w:p>
    <w:p>
      <w:r>
        <w:t>non-stationary** — an augmented Dickey–Fuller test fails to reject a unit root (p ≈ 0.36) —</w:t>
      </w:r>
    </w:p>
    <w:p>
      <w:r>
        <w:t xml:space="preserve">whereas </w:t>
      </w:r>
      <w:r>
        <w:rPr>
          <w:b/>
        </w:rPr>
        <w:t>returns are stationary</w:t>
      </w:r>
      <w:r>
        <w:t xml:space="preserve"> (ADF p &lt; 0.001); modelling must therefore be done in</w:t>
      </w:r>
    </w:p>
    <w:p>
      <w:r>
        <w:t>returns or with an explicit trend, never on raw prices. Cross-sectionally, oil shows the</w:t>
      </w:r>
    </w:p>
    <w:p>
      <w:r>
        <w:t xml:space="preserve">expected </w:t>
      </w:r>
      <w:r>
        <w:rPr>
          <w:b/>
        </w:rPr>
        <w:t>inverse relationship with the U.S. dollar</w:t>
      </w:r>
      <w:r>
        <w:t xml:space="preserve"> (correlation of weekly changes ≈</w:t>
      </w:r>
    </w:p>
    <w:p>
      <w:r>
        <w:rPr>
          <w:b/>
        </w:rPr>
        <w:t>−0.43</w:t>
      </w:r>
      <w:r>
        <w:t>), because oil is priced in dollars and a stronger dollar mechanically depresses</w:t>
      </w:r>
    </w:p>
    <w:p>
      <w:r>
        <w:t xml:space="preserve">the barrel; it is </w:t>
      </w:r>
      <w:r>
        <w:rPr>
          <w:b/>
        </w:rPr>
        <w:t>pro-cyclical with equities and, strongly, with the energy sector</w:t>
      </w:r>
    </w:p>
    <w:p>
      <w:r>
        <w:t xml:space="preserve">(correlation with the sector ETF ≈ </w:t>
      </w:r>
      <w:r>
        <w:rPr>
          <w:b/>
        </w:rPr>
        <w:t>0.81</w:t>
      </w:r>
      <w:r>
        <w:t xml:space="preserve">, with the broad market ≈ </w:t>
      </w:r>
      <w:r>
        <w:rPr>
          <w:b/>
        </w:rPr>
        <w:t>0.34</w:t>
      </w:r>
      <w:r>
        <w:t>), reflecting</w:t>
      </w:r>
    </w:p>
    <w:p>
      <w:r>
        <w:t>oil's role as a barometer of global demand. Fundamentals anchor the price over longer</w:t>
      </w:r>
    </w:p>
    <w:p>
      <w:r>
        <w:t>horizons: production and inventories act as supply signals, and the futures term structure</w:t>
      </w:r>
    </w:p>
    <w:p>
      <w:r>
        <w:t>flips between *contango* and *backwardation* as the market swings between glut and scarcity.</w:t>
      </w:r>
    </w:p>
    <w:p>
      <w:r>
        <w:t>Finally, oil volatility spikes coincide with equity-market stress, tying the barrel into</w:t>
      </w:r>
    </w:p>
    <w:p>
      <w:r>
        <w:t>the broader systemic-risk picture. Taken together, these facts describe a variable that is</w:t>
      </w:r>
    </w:p>
    <w:p>
      <w:r>
        <w:t>non-stationary, fat-tailed, volatility-clustered and richly connected to the macro-financial</w:t>
      </w:r>
    </w:p>
    <w:p>
      <w:r>
        <w:t>system — a profile that motivates a structured, probabilistic model rather than a single</w:t>
      </w:r>
    </w:p>
    <w:p>
      <w:r>
        <w:t>linear equation.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5. Toward the model</w:t>
      </w:r>
    </w:p>
    <w:p>
      <w:r>
        <w:t>The final section previews the methodology that GWP2 will develop, summarising the three</w:t>
      </w:r>
    </w:p>
    <w:p>
      <w:r>
        <w:t>conceptual building blocks the assignment asks us to lay out before the Bayesian network is</w:t>
      </w:r>
    </w:p>
    <w:p>
      <w:r>
        <w:t>constructed.</w:t>
      </w:r>
    </w:p>
    <w:p>
      <w:pPr>
        <w:pStyle w:val="Heading3"/>
      </w:pPr>
      <w:r>
        <w:t>5.1 Probabilistic graphical models: belief networks versus Markov networks</w:t>
      </w:r>
    </w:p>
    <w:p>
      <w:r>
        <w:t xml:space="preserve">A </w:t>
      </w:r>
      <w:r>
        <w:rPr>
          <w:b/>
        </w:rPr>
        <w:t>probabilistic graphical model</w:t>
      </w:r>
      <w:r>
        <w:t xml:space="preserve"> is a marriage of probability theory and graph theory:</w:t>
      </w:r>
    </w:p>
    <w:p>
      <w:r>
        <w:t>nodes are random variables, edges encode direct probabilistic dependence, and the graph as</w:t>
      </w:r>
    </w:p>
    <w:p>
      <w:r>
        <w:t>a whole factorises a high-dimensional joint distribution into a product of small, local</w:t>
      </w:r>
    </w:p>
    <w:p>
      <w:r>
        <w:t>pieces. The absence of an edge is as meaningful as its presence — it asserts a conditional</w:t>
      </w:r>
    </w:p>
    <w:p>
      <w:r>
        <w:t>independence — and it is this sparsity that makes an otherwise intractable joint</w:t>
      </w:r>
    </w:p>
    <w:p>
      <w:r>
        <w:t>distribution both estimable and interpretable. Two families dominate, distinguished by</w:t>
      </w:r>
    </w:p>
    <w:p>
      <w:r>
        <w:t>whether their edges are directed.</w:t>
      </w:r>
    </w:p>
    <w:p>
      <w:r>
        <w:t xml:space="preserve">A </w:t>
      </w:r>
      <w:r>
        <w:rPr>
          <w:b/>
        </w:rPr>
        <w:t>belief network</w:t>
      </w:r>
      <w:r>
        <w:t xml:space="preserve"> (Bayesian network) uses a *directed acyclic graph*. Each edge points</w:t>
      </w:r>
    </w:p>
    <w:p>
      <w:r>
        <w:t>from a parent to a child, and the joint distribution factorises as the product over nodes</w:t>
      </w:r>
    </w:p>
    <w:p>
      <w:r>
        <w:t>of each variable's distribution conditioned on its parents. The directedness lets the graph</w:t>
      </w:r>
    </w:p>
    <w:p>
      <w:r>
        <w:t>express asymmetric, causal-flavoured relationships ("geopolitical risk drives the oil</w:t>
      </w:r>
    </w:p>
    <w:p>
      <w:r>
        <w:t xml:space="preserve">price"), which is exactly what an oil-forecasting model wants. A </w:t>
      </w:r>
      <w:r>
        <w:rPr>
          <w:b/>
        </w:rPr>
        <w:t>Markov network</w:t>
      </w:r>
      <w:r>
        <w:t xml:space="preserve"> (Markov</w:t>
      </w:r>
    </w:p>
    <w:p>
      <w:r>
        <w:t>random field), by contrast, uses an *undirected graph*; its edges represent symmetric</w:t>
      </w:r>
    </w:p>
    <w:p>
      <w:r>
        <w:t>association, and the joint distribution factorises over cliques via non-negative potential</w:t>
      </w:r>
    </w:p>
    <w:p>
      <w:r>
        <w:t>functions normalised by a partition function. Markov networks naturally model mutual,</w:t>
      </w:r>
    </w:p>
    <w:p>
      <w:r>
        <w:t>non-directional relationships (such as spatial or contemporaneous co-movement) but cannot,</w:t>
      </w:r>
    </w:p>
    <w:p>
      <w:r>
        <w:t>on their own, express which way an influence runs. For a forecasting problem in which the</w:t>
      </w:r>
    </w:p>
    <w:p>
      <w:r>
        <w:t>direction of influence is the object of interest, the directed belief network is the</w:t>
      </w:r>
    </w:p>
    <w:p>
      <w:r>
        <w:t>natural choice — while the undirected view remains useful for reasoning about the</w:t>
      </w:r>
    </w:p>
    <w:p>
      <w:r>
        <w:t>symmetric conditional-independence structure that underlies both.</w:t>
      </w:r>
    </w:p>
    <w:p>
      <w:pPr>
        <w:pStyle w:val="Heading3"/>
      </w:pPr>
      <w:r>
        <w:t>5.2 Parameter learning versus structure learning</w:t>
      </w:r>
    </w:p>
    <w:p>
      <w:r>
        <w:t>Fitting a Bayesian network to data involves two distinct tasks that are easy to conflate.</w:t>
      </w:r>
    </w:p>
    <w:p>
      <w:r>
        <w:rPr>
          <w:b/>
        </w:rPr>
        <w:t>Structure learning</w:t>
      </w:r>
      <w:r>
        <w:t xml:space="preserve"> asks *which graph* best explains the data — which edges exist and,</w:t>
      </w:r>
    </w:p>
    <w:p>
      <w:r>
        <w:t>where possible, which way they point. It is the harder problem, because the space of</w:t>
      </w:r>
    </w:p>
    <w:p>
      <w:r>
        <w:t>possible graphs is super-exponential in the number of nodes; it is tackled either by</w:t>
      </w:r>
    </w:p>
    <w:p>
      <w:r>
        <w:t>*constraint-based* methods that test conditional independencies to carve out the edge set</w:t>
      </w:r>
    </w:p>
    <w:p>
      <w:r>
        <w:t>(the family to which the Inferred-Causality algorithm below belongs) or by *score-based*</w:t>
      </w:r>
    </w:p>
    <w:p>
      <w:r>
        <w:t xml:space="preserve">search that optimises a penalised likelihood over graphs. </w:t>
      </w:r>
      <w:r>
        <w:rPr>
          <w:b/>
        </w:rPr>
        <w:t>Parameter learning</w:t>
      </w:r>
      <w:r>
        <w:t>, by</w:t>
      </w:r>
    </w:p>
    <w:p>
      <w:r>
        <w:t>contrast, takes the structure as *given* and estimates the numbers that fill it in — the</w:t>
      </w:r>
    </w:p>
    <w:p>
      <w:r>
        <w:t>conditional probability distribution at each node given its parents — typically by maximum</w:t>
      </w:r>
    </w:p>
    <w:p>
      <w:r>
        <w:t>likelihood or Bayesian (e.g. maximum-a-posteriori) estimation, and with the aid of the</w:t>
      </w:r>
    </w:p>
    <w:p>
      <w:r>
        <w:t>Expectation–Maximisation algorithm when some variables are unobserved. The two are</w:t>
      </w:r>
    </w:p>
    <w:p>
      <w:r>
        <w:t>sequential in practice: one first decides the skeleton and orientation (structure), then</w:t>
      </w:r>
    </w:p>
    <w:p>
      <w:r>
        <w:t>calibrates the local distributions (parameters). Confusing them is a common error — a</w:t>
      </w:r>
    </w:p>
    <w:p>
      <w:r>
        <w:t>network can have the right parameters on the wrong structure, and no amount of parameter</w:t>
      </w:r>
    </w:p>
    <w:p>
      <w:r>
        <w:t>tuning repairs a mis-specified graph.</w:t>
      </w:r>
    </w:p>
    <w:p>
      <w:pPr>
        <w:pStyle w:val="Heading3"/>
      </w:pPr>
      <w:r>
        <w:t>5.3 Markov chains and Markov blankets</w:t>
      </w:r>
    </w:p>
    <w:p>
      <w:r>
        <w:t xml:space="preserve">Two "Markov" ideas underpin the machinery. A </w:t>
      </w:r>
      <w:r>
        <w:rPr>
          <w:b/>
        </w:rPr>
        <w:t>Markov chain</w:t>
      </w:r>
      <w:r>
        <w:t xml:space="preserve"> is a sequence of random</w:t>
      </w:r>
    </w:p>
    <w:p>
      <w:r>
        <w:t>variables in which the future is independent of the past given the present — the next state</w:t>
      </w:r>
    </w:p>
    <w:p>
      <w:r>
        <w:t>depends only on the current one, not on the full history. This memorylessness is the</w:t>
      </w:r>
    </w:p>
    <w:p>
      <w:r>
        <w:t>temporal backbone of many dynamic models and, in the network-learning context, of the</w:t>
      </w:r>
    </w:p>
    <w:p>
      <w:r>
        <w:t>sampling schemes (Markov-chain Monte Carlo) used to perform inference when exact</w:t>
      </w:r>
    </w:p>
    <w:p>
      <w:r>
        <w:t xml:space="preserve">calculation is infeasible. A </w:t>
      </w:r>
      <w:r>
        <w:rPr>
          <w:b/>
        </w:rPr>
        <w:t>Markov blanket</w:t>
      </w:r>
      <w:r>
        <w:t>, by contrast, is a *structural* notion: the</w:t>
      </w:r>
    </w:p>
    <w:p>
      <w:r>
        <w:t>Markov blanket of a node in a Bayesian network is the set comprising its parents, its</w:t>
      </w:r>
    </w:p>
    <w:p>
      <w:r>
        <w:t>children, and its children's other parents (co-parents). Its defining property is powerful</w:t>
      </w:r>
    </w:p>
    <w:p>
      <w:r>
        <w:t>— *conditioned on its Markov blanket, a node is independent of every other variable in the</w:t>
      </w:r>
    </w:p>
    <w:p>
      <w:r>
        <w:t>network*. Everything relevant to predicting a variable is contained in its blanket, so the</w:t>
      </w:r>
    </w:p>
    <w:p>
      <w:r>
        <w:t>blanket is precisely the set of features a forecaster needs and nothing more. This is the</w:t>
      </w:r>
    </w:p>
    <w:p>
      <w:r>
        <w:t>concept that makes local, scalable inference possible, and — as the next section shows — it</w:t>
      </w:r>
    </w:p>
    <w:p>
      <w:r>
        <w:t>is also the object the causal-discovery algorithm exploits to decide which edges belong in</w:t>
      </w:r>
    </w:p>
    <w:p>
      <w:r>
        <w:t>the graph.</w:t>
      </w:r>
    </w:p>
    <w:p>
      <w:pPr>
        <w:pStyle w:val="Heading3"/>
      </w:pPr>
      <w:r>
        <w:t>5.4 Algorithm 1 — Inferred Causality (pseudocode)</w:t>
      </w:r>
    </w:p>
    <w:p>
      <w:r>
        <w:t>The structure-learning routine at the heart of the methodology is the constraint-based</w:t>
      </w:r>
    </w:p>
    <w:p>
      <w:r>
        <w:rPr>
          <w:b/>
        </w:rPr>
        <w:t>Inferred Causality (IC)</w:t>
      </w:r>
      <w:r>
        <w:t xml:space="preserve"> algorithm, which recovers a graph from the conditional</w:t>
      </w:r>
    </w:p>
    <w:p>
      <w:r>
        <w:t>independencies present in the data. It proceeds in three phases: build the undirected</w:t>
      </w:r>
    </w:p>
    <w:p>
      <w:r>
        <w:t>skeleton by finding, for each pair of variables, a conditioning (separating) set that makes</w:t>
      </w:r>
    </w:p>
    <w:p>
      <w:r>
        <w:t>them independent; orient the unambiguous *v-structures* (colliders); then propagate those</w:t>
      </w:r>
    </w:p>
    <w:p>
      <w:r>
        <w:t>orientations with a set of consistency rules. The reliance on separating sets is a direct</w:t>
      </w:r>
    </w:p>
    <w:p>
      <w:r>
        <w:t>use of the Markov-blanket idea from Section 5.3.</w:t>
      </w:r>
    </w:p>
    <w:p>
      <w:pPr>
        <w:ind w:left="288"/>
      </w:pPr>
      <w:r>
        <w:rPr>
          <w:rFonts w:ascii="Consolas" w:hAnsi="Consolas"/>
          <w:sz w:val="18"/>
        </w:rPr>
        <w:t>Algorithm 1: Inferred Causality (IC)</w:t>
        <w:br/>
        <w:t>Input : dataset D over variable set V; conditional-independence test CI(·,·|·)</w:t>
        <w:br/>
        <w:t>Output: a partially directed acyclic graph (pattern) G</w:t>
        <w:br/>
        <w:br/>
        <w:t># ---- Phase 1: build the undirected skeleton ---------------------------------</w:t>
        <w:br/>
        <w:t>initialise G as the complete undirected graph over V</w:t>
        <w:br/>
        <w:t>for each ordered pair of variables (a, b) that are adjacent in G:</w:t>
        <w:br/>
        <w:t xml:space="preserve">    search for a separating set S_ab ⊆ V \ {a, b} such that</w:t>
        <w:br/>
        <w:t xml:space="preserve">        CI(a, b | S_ab) holds        # a and b are conditionally independent</w:t>
        <w:br/>
        <w:t xml:space="preserve">    if such an S_ab exists:</w:t>
        <w:br/>
        <w:t xml:space="preserve">        remove the edge a — b from G</w:t>
        <w:br/>
        <w:t xml:space="preserve">        record Sepset(a, b) ← S_ab</w:t>
        <w:br/>
        <w:br/>
        <w:t># ---- Phase 2: orient v-structures (colliders) -------------------------------</w:t>
        <w:br/>
        <w:t>for each triple (a, c, b) with a — c and c — b in G, but a and b non-adjacent:</w:t>
        <w:br/>
        <w:t xml:space="preserve">    if c ∉ Sepset(a, b):</w:t>
        <w:br/>
        <w:t xml:space="preserve">        orient the edges as a → c ← b     # c is a collider</w:t>
        <w:br/>
        <w:br/>
        <w:t># ---- Phase 3: propagate orientations (avoid new colliders and cycles) -------</w:t>
        <w:br/>
        <w:t>repeat until no edge changes:</w:t>
        <w:br/>
        <w:t xml:space="preserve">    R1: if a → c and c — b with a, b non-adjacent, orient c → b</w:t>
        <w:br/>
        <w:t xml:space="preserve">    R2: if a → c → b and a — b,                    orient a → b</w:t>
        <w:br/>
        <w:t xml:space="preserve">    R3: if a — c, a — d, c → b, d → b, c and d</w:t>
        <w:br/>
        <w:t xml:space="preserve">        non-adjacent, and a — b,                   orient a → b</w:t>
        <w:br/>
        <w:t>return G</w:t>
      </w:r>
    </w:p>
    <w:p>
      <w:r>
        <w:t>Applied to the panel assembled here, the skeleton phase would test whether, say, the oil</w:t>
      </w:r>
    </w:p>
    <w:p>
      <w:r>
        <w:t>price and the equity market remain dependent once the dollar and industrial production are</w:t>
      </w:r>
    </w:p>
    <w:p>
      <w:r>
        <w:t>conditioned on; the orientation phases would then try to fix the direction of the surviving</w:t>
      </w:r>
    </w:p>
    <w:p>
      <w:r>
        <w:t>edges — for instance, resolving a geopolitical-risk → oil → oil-volatility chain. The</w:t>
      </w:r>
    </w:p>
    <w:p>
      <w:r>
        <w:t>qualitative causal skeleton in the companion notebook (Figure E) sketches the kind of graph</w:t>
      </w:r>
    </w:p>
    <w:p>
      <w:r>
        <w:t>this procedure aims to recover and serves as the bridge into GWP2, where the network is</w:t>
      </w:r>
    </w:p>
    <w:p>
      <w:r>
        <w:t>estimated and its parameters learned.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6. Conclusion</w:t>
      </w:r>
    </w:p>
    <w:p>
      <w:r>
        <w:t>This project has framed oil-price forecasting as a problem of learning and reasoning over a</w:t>
      </w:r>
    </w:p>
    <w:p>
      <w:r>
        <w:t>structured, probabilistic model, and it has built the empirical groundwork that such a model</w:t>
      </w:r>
    </w:p>
    <w:p>
      <w:r>
        <w:t>requires. We motivated the Bayesian-network approach as uniquely suited to a target that is</w:t>
      </w:r>
    </w:p>
    <w:p>
      <w:r>
        <w:t>driven by many interacting, regime-switching factors and that must be reasoned about</w:t>
      </w:r>
    </w:p>
    <w:p>
      <w:r>
        <w:t>distributionally for risk purposes. We then assembled a fifteen-variable weekly panel</w:t>
      </w:r>
    </w:p>
    <w:p>
      <w:r>
        <w:t>spanning the macroeconomic, industry, financial and geopolitical drivers of the barrel,</w:t>
      </w:r>
    </w:p>
    <w:p>
      <w:r>
        <w:t>cleaned it through a documented three-stage protocol, and characterised the oil price</w:t>
      </w:r>
    </w:p>
    <w:p>
      <w:r>
        <w:t>empirically. The exploratory analysis confirmed the stylized facts that any credible oil</w:t>
      </w:r>
    </w:p>
    <w:p>
      <w:r>
        <w:t>model must reproduce: sharp event-driven spikes, clustered volatility, fat-tailed and</w:t>
      </w:r>
    </w:p>
    <w:p>
      <w:r>
        <w:t>non-Normal returns, near-white-noise returns alongside strongly autocorrelated volatility,</w:t>
      </w:r>
    </w:p>
    <w:p>
      <w:r>
        <w:t>a non-stationary price level, and a distinctive web of relationships with the dollar,</w:t>
      </w:r>
    </w:p>
    <w:p>
      <w:r>
        <w:t>equities and the energy sector. These features are precisely what defeats a single linear</w:t>
      </w:r>
    </w:p>
    <w:p>
      <w:r>
        <w:t>model and what a probabilistic graphical model is designed to accommodate — setting the</w:t>
      </w:r>
    </w:p>
    <w:p>
      <w:r>
        <w:t>stage for the methodology and network construction of GWP2.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Works Cited</w:t>
      </w:r>
    </w:p>
    <w:p>
      <w:r>
        <w:t>Alvi, Danish A. *Application of Probabilistic Graphical Models in Forecasting Crude Oil</w:t>
      </w:r>
    </w:p>
    <w:p>
      <w:r>
        <w:t>Price.* 2018. University College London, Dissertation. *arXiv*, arxiv.org/abs/1804.10869.</w:t>
      </w:r>
    </w:p>
    <w:p>
      <w:r>
        <w:t>Caldara, Dario, and Matteo Iacoviello. "Measuring Geopolitical Risk." *American Economic</w:t>
      </w:r>
    </w:p>
    <w:p>
      <w:r>
        <w:t>Review*, vol. 112, no. 4, 2022, pp. 1194–1225.</w:t>
      </w:r>
    </w:p>
    <w:p>
      <w:r>
        <w:t>Koller, Daphne, and Nir Friedman. *Probabilistic Graphical Models: Principles and</w:t>
      </w:r>
    </w:p>
    <w:p>
      <w:r>
        <w:t>Techniques.* MIT Press, 2009.</w:t>
      </w:r>
    </w:p>
    <w:p>
      <w:r>
        <w:t>Pearl, Judea. *Causality: Models, Reasoning, and Inference.* 2nd ed., Cambridge University</w:t>
      </w:r>
    </w:p>
    <w:p>
      <w:r>
        <w:t>Press, 2009.</w:t>
      </w:r>
    </w:p>
    <w:p>
      <w:r>
        <w:t>U.S. Energy Information Administration. "Petroleum &amp; Other Liquids: Data." *EIA*,</w:t>
      </w:r>
    </w:p>
    <w:p>
      <w:r>
        <w:t>www.eia.gov/petroleum/data.php. Accessed May 2024.</w:t>
      </w:r>
    </w:p>
    <w:p>
      <w:r>
        <w:t>Verma, Thomas, and Judea Pearl. "Equivalence and Synthesis of Causal Models." *Proceedings</w:t>
      </w:r>
    </w:p>
    <w:p>
      <w:r>
        <w:t>of the Sixth Conference on Uncertainty in Artificial Intelligence*, 1990, pp. 255–270.</w:t>
      </w:r>
    </w:p>
    <w:p>
      <w:r>
        <w:t>Federal Reserve Bank of St. Louis. "Federal Reserve Economic Data (FRED)." *FRED*,</w:t>
      </w:r>
    </w:p>
    <w:p>
      <w:r>
        <w:t>fred.stlouisfed.org. Accessed May 2024.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Appendix — Figures</w:t>
      </w:r>
    </w:p>
    <w:p>
      <w:r>
        <w:rPr>
          <w:b/>
        </w:rPr>
        <w:t>Figure A — Distributional analysis (returns vs Normal, Q-Q).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78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istributio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78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B — Time series (price with events, returns, rolling volatility).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354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timese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5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C1 — Correlation of weekly changes across the panel.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2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corre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C2 — WTI vs USD and rolling correlation.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787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multivari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78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D — Autocorrelation of returns vs squared returns.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787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autocorre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78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E — Candidate causal skeleton for the oil-price Bayesian network.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231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_bn_skelet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2311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