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GWP1 — Extended analysis addendum (v2)</w:t>
      </w:r>
    </w:p>
    <w:p>
      <w:r>
        <w:t>*Paste these sections into the report to replace/augment the oil-only material. They</w:t>
      </w:r>
    </w:p>
    <w:p>
      <w:r>
        <w:t>close the three weaknesses of the original package: narrow variable set, a dominant</w:t>
      </w:r>
    </w:p>
    <w:p>
      <w:r>
        <w:t>but non-predictive benchmark edge, and an undirected "directed" graph.*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2b. Extending the panel beyond oil</w:t>
      </w:r>
    </w:p>
    <w:p>
      <w:r>
        <w:t>The original panel used only WTI and Brent — two prices of the same commodity — plus</w:t>
      </w:r>
    </w:p>
    <w:p>
      <w:r>
        <w:t>features engineered from them. Because the assignment requires macroeconomic,</w:t>
      </w:r>
    </w:p>
    <w:p>
      <w:r>
        <w:t>financial and physical-market drivers, we add three genuine non-oil series and align</w:t>
      </w:r>
    </w:p>
    <w:p>
      <w:r>
        <w:t>them to the monthly grid.</w:t>
      </w:r>
    </w:p>
    <w:p>
      <w:r>
        <w:rPr>
          <w:b/>
        </w:rPr>
        <w:t>Table 1b — Added non-oil drivers.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Series (FRED)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Transform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Economic role</w:t>
            </w:r>
          </w:p>
        </w:tc>
      </w:tr>
      <w:tr>
        <w:tc>
          <w:tcPr>
            <w:tcW w:type="dxa" w:w="1728"/>
          </w:tcPr>
          <w:p>
            <w:r>
              <w:t>USD_Index</w:t>
            </w:r>
          </w:p>
        </w:tc>
        <w:tc>
          <w:tcPr>
            <w:tcW w:type="dxa" w:w="1728"/>
          </w:tcPr>
          <w:p>
            <w:r>
              <w:t>Macroeconomic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B03030"/>
                <w:sz w:val="19"/>
              </w:rPr>
              <w:t>DTWEXBGS</w:t>
            </w:r>
          </w:p>
        </w:tc>
        <w:tc>
          <w:tcPr>
            <w:tcW w:type="dxa" w:w="1728"/>
          </w:tcPr>
          <w:p>
            <w:r>
              <w:t>monthly log return, lagged 1m</w:t>
            </w:r>
          </w:p>
        </w:tc>
        <w:tc>
          <w:tcPr>
            <w:tcW w:type="dxa" w:w="1728"/>
          </w:tcPr>
          <w:p>
            <w:r>
              <w:t>Oil is dollar-priced; a stronger dollar pressures crude.</w:t>
            </w:r>
          </w:p>
        </w:tc>
      </w:tr>
      <w:tr>
        <w:tc>
          <w:tcPr>
            <w:tcW w:type="dxa" w:w="1728"/>
          </w:tcPr>
          <w:p>
            <w:r>
              <w:t>VIX</w:t>
            </w:r>
          </w:p>
        </w:tc>
        <w:tc>
          <w:tcPr>
            <w:tcW w:type="dxa" w:w="1728"/>
          </w:tcPr>
          <w:p>
            <w:r>
              <w:t>Financial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B03030"/>
                <w:sz w:val="19"/>
              </w:rPr>
              <w:t>VIXCLS</w:t>
            </w:r>
          </w:p>
        </w:tc>
        <w:tc>
          <w:tcPr>
            <w:tcW w:type="dxa" w:w="1728"/>
          </w:tcPr>
          <w:p>
            <w:r>
              <w:t>monthly average level, lagged 1m</w:t>
            </w:r>
          </w:p>
        </w:tc>
        <w:tc>
          <w:tcPr>
            <w:tcW w:type="dxa" w:w="1728"/>
          </w:tcPr>
          <w:p>
            <w:r>
              <w:t>Risk-appetite / turbulence regime; elevated VIX precedes soft oil.</w:t>
            </w:r>
          </w:p>
        </w:tc>
      </w:tr>
      <w:tr>
        <w:tc>
          <w:tcPr>
            <w:tcW w:type="dxa" w:w="1728"/>
          </w:tcPr>
          <w:p>
            <w:r>
              <w:t>Inventory</w:t>
            </w:r>
          </w:p>
        </w:tc>
        <w:tc>
          <w:tcPr>
            <w:tcW w:type="dxa" w:w="1728"/>
          </w:tcPr>
          <w:p>
            <w:r>
              <w:t>Physical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B03030"/>
                <w:sz w:val="19"/>
              </w:rPr>
              <w:t>WCESTUS1</w:t>
            </w:r>
          </w:p>
        </w:tc>
        <w:tc>
          <w:tcPr>
            <w:tcW w:type="dxa" w:w="1728"/>
          </w:tcPr>
          <w:p>
            <w:r>
              <w:t>monthly change, lagged 1m</w:t>
            </w:r>
          </w:p>
        </w:tc>
        <w:tc>
          <w:tcPr>
            <w:tcW w:type="dxa" w:w="1728"/>
          </w:tcPr>
          <w:p>
            <w:r>
              <w:t>Supply–demand balance; builds precede price weakness.</w:t>
            </w:r>
          </w:p>
        </w:tc>
      </w:tr>
    </w:tbl>
    <w:p/>
    <w:p>
      <w:r>
        <w:t xml:space="preserve">Each non-oil driver enters the dependence analysis in its </w:t>
      </w:r>
      <w:r>
        <w:rPr>
          <w:b/>
        </w:rPr>
        <w:t>lagged</w:t>
      </w:r>
      <w:r>
        <w:t xml:space="preserve"> form, i.e. using</w:t>
      </w:r>
    </w:p>
    <w:p>
      <w:r>
        <w:t>only information available one month before the WTI return being explained, so that a</w:t>
      </w:r>
    </w:p>
    <w:p>
      <w:r>
        <w:t>material association is a genuine *forecast* rather than a coincidence of timing.</w:t>
      </w:r>
    </w:p>
    <w:p>
      <w:pPr>
        <w:pStyle w:val="Heading2"/>
      </w:pPr>
      <w:r>
        <w:t>3b. Contemporaneous versus predictive drivers (fixes the Brent artefact)</w:t>
      </w:r>
    </w:p>
    <w:p>
      <w:r>
        <w:t>The single most important correction concerns what counts as a "driver." Measuring the</w:t>
      </w:r>
    </w:p>
    <w:p>
      <w:r>
        <w:t xml:space="preserve">WTI return </w:t>
      </w:r>
      <w:r>
        <w:rPr>
          <w:b/>
        </w:rPr>
        <w:t>state</w:t>
      </w:r>
      <w:r>
        <w:t xml:space="preserve"> (Down / Flat / Up, ±1% bands) against candidate inputs with the</w:t>
      </w:r>
    </w:p>
    <w:p>
      <w:r>
        <w:t>chi-square statistic, Cramér's V and mutual information gives Table 7b.</w:t>
      </w:r>
    </w:p>
    <w:p>
      <w:r>
        <w:rPr>
          <w:b/>
        </w:rPr>
        <w:t>Table 7b — Dependence with WTI return state.</w:t>
      </w:r>
      <w:r>
        <w:t xml:space="preserve"> *(Synthetic-fallback figures shown;</w:t>
      </w:r>
    </w:p>
    <w:p>
      <w:r>
        <w:t xml:space="preserve">they refresh on the live FRED run. </w:t>
      </w:r>
      <w:r>
        <w:rPr>
          <w:rFonts w:ascii="Consolas" w:hAnsi="Consolas"/>
          <w:color w:val="B03030"/>
          <w:sz w:val="19"/>
        </w:rPr>
        <w:t>n</w:t>
      </w:r>
      <w:r>
        <w:t xml:space="preserve"> is the usable month count after lagging.)*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Driver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χ²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Cramér's 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Mutual info</w:t>
            </w:r>
          </w:p>
        </w:tc>
      </w:tr>
      <w:tr>
        <w:tc>
          <w:tcPr>
            <w:tcW w:type="dxa" w:w="1440"/>
          </w:tcPr>
          <w:p>
            <w:r>
              <w:t>Brent_ret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contemporaneous</w:t>
            </w:r>
          </w:p>
        </w:tc>
        <w:tc>
          <w:tcPr>
            <w:tcW w:type="dxa" w:w="1440"/>
          </w:tcPr>
          <w:p>
            <w:r>
              <w:t>390.8</w:t>
            </w:r>
          </w:p>
        </w:tc>
        <w:tc>
          <w:tcPr>
            <w:tcW w:type="dxa" w:w="1440"/>
          </w:tcPr>
          <w:p>
            <w:r>
              <w:t>≈0</w:t>
            </w:r>
          </w:p>
        </w:tc>
        <w:tc>
          <w:tcPr>
            <w:tcW w:type="dxa" w:w="1440"/>
          </w:tcPr>
          <w:p>
            <w:r>
              <w:t>0.645</w:t>
            </w:r>
          </w:p>
        </w:tc>
        <w:tc>
          <w:tcPr>
            <w:tcW w:type="dxa" w:w="1440"/>
          </w:tcPr>
          <w:p>
            <w:r>
              <w:t>0.484</w:t>
            </w:r>
          </w:p>
        </w:tc>
      </w:tr>
      <w:tr>
        <w:tc>
          <w:tcPr>
            <w:tcW w:type="dxa" w:w="1440"/>
          </w:tcPr>
          <w:p>
            <w:r>
              <w:t>Spread</w:t>
            </w:r>
          </w:p>
        </w:tc>
        <w:tc>
          <w:tcPr>
            <w:tcW w:type="dxa" w:w="1440"/>
          </w:tcPr>
          <w:p>
            <w:r>
              <w:t>contemporaneous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0.90</w:t>
            </w:r>
          </w:p>
        </w:tc>
        <w:tc>
          <w:tcPr>
            <w:tcW w:type="dxa" w:w="1440"/>
          </w:tcPr>
          <w:p>
            <w:r>
              <w:t>0.033</w:t>
            </w:r>
          </w:p>
        </w:tc>
        <w:tc>
          <w:tcPr>
            <w:tcW w:type="dxa" w:w="1440"/>
          </w:tcPr>
          <w:p>
            <w:r>
              <w:t>0.001</w:t>
            </w:r>
          </w:p>
        </w:tc>
      </w:tr>
      <w:tr>
        <w:tc>
          <w:tcPr>
            <w:tcW w:type="dxa" w:w="1440"/>
          </w:tcPr>
          <w:p>
            <w:r>
              <w:t>VIX (lag 1)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predictive</w:t>
            </w:r>
          </w:p>
        </w:tc>
        <w:tc>
          <w:tcPr>
            <w:tcW w:type="dxa" w:w="1440"/>
          </w:tcPr>
          <w:p>
            <w:r>
              <w:t>209.8</w:t>
            </w:r>
          </w:p>
        </w:tc>
        <w:tc>
          <w:tcPr>
            <w:tcW w:type="dxa" w:w="1440"/>
          </w:tcPr>
          <w:p>
            <w:r>
              <w:t>≈0</w:t>
            </w:r>
          </w:p>
        </w:tc>
        <w:tc>
          <w:tcPr>
            <w:tcW w:type="dxa" w:w="1440"/>
          </w:tcPr>
          <w:p>
            <w:r>
              <w:t>0.465</w:t>
            </w:r>
          </w:p>
        </w:tc>
        <w:tc>
          <w:tcPr>
            <w:tcW w:type="dxa" w:w="1440"/>
          </w:tcPr>
          <w:p>
            <w:r>
              <w:t>0.248</w:t>
            </w:r>
          </w:p>
        </w:tc>
      </w:tr>
      <w:tr>
        <w:tc>
          <w:tcPr>
            <w:tcW w:type="dxa" w:w="1440"/>
          </w:tcPr>
          <w:p>
            <w:r>
              <w:t>USD return (lag 1)</w:t>
            </w:r>
          </w:p>
        </w:tc>
        <w:tc>
          <w:tcPr>
            <w:tcW w:type="dxa" w:w="1440"/>
          </w:tcPr>
          <w:p>
            <w:r>
              <w:t>predictive</w:t>
            </w:r>
          </w:p>
        </w:tc>
        <w:tc>
          <w:tcPr>
            <w:tcW w:type="dxa" w:w="1440"/>
          </w:tcPr>
          <w:p>
            <w:r>
              <w:t>54.7</w:t>
            </w:r>
          </w:p>
        </w:tc>
        <w:tc>
          <w:tcPr>
            <w:tcW w:type="dxa" w:w="1440"/>
          </w:tcPr>
          <w:p>
            <w:r>
              <w:t>≈0</w:t>
            </w:r>
          </w:p>
        </w:tc>
        <w:tc>
          <w:tcPr>
            <w:tcW w:type="dxa" w:w="1440"/>
          </w:tcPr>
          <w:p>
            <w:r>
              <w:t>0.238</w:t>
            </w:r>
          </w:p>
        </w:tc>
        <w:tc>
          <w:tcPr>
            <w:tcW w:type="dxa" w:w="1440"/>
          </w:tcPr>
          <w:p>
            <w:r>
              <w:t>0.058</w:t>
            </w:r>
          </w:p>
        </w:tc>
      </w:tr>
      <w:tr>
        <w:tc>
          <w:tcPr>
            <w:tcW w:type="dxa" w:w="1440"/>
          </w:tcPr>
          <w:p>
            <w:r>
              <w:t>Inventory change (lag 1)</w:t>
            </w:r>
          </w:p>
        </w:tc>
        <w:tc>
          <w:tcPr>
            <w:tcW w:type="dxa" w:w="1440"/>
          </w:tcPr>
          <w:p>
            <w:r>
              <w:t>predictive</w:t>
            </w:r>
          </w:p>
        </w:tc>
        <w:tc>
          <w:tcPr>
            <w:tcW w:type="dxa" w:w="1440"/>
          </w:tcPr>
          <w:p>
            <w:r>
              <w:t>20.5</w:t>
            </w:r>
          </w:p>
        </w:tc>
        <w:tc>
          <w:tcPr>
            <w:tcW w:type="dxa" w:w="1440"/>
          </w:tcPr>
          <w:p>
            <w:r>
              <w:t>4e-4</w:t>
            </w:r>
          </w:p>
        </w:tc>
        <w:tc>
          <w:tcPr>
            <w:tcW w:type="dxa" w:w="1440"/>
          </w:tcPr>
          <w:p>
            <w:r>
              <w:t>0.145</w:t>
            </w:r>
          </w:p>
        </w:tc>
        <w:tc>
          <w:tcPr>
            <w:tcW w:type="dxa" w:w="1440"/>
          </w:tcPr>
          <w:p>
            <w:r>
              <w:t>0.021</w:t>
            </w:r>
          </w:p>
        </w:tc>
      </w:tr>
      <w:tr>
        <w:tc>
          <w:tcPr>
            <w:tcW w:type="dxa" w:w="1440"/>
          </w:tcPr>
          <w:p>
            <w:r>
              <w:t>6-month volatility</w:t>
            </w:r>
          </w:p>
        </w:tc>
        <w:tc>
          <w:tcPr>
            <w:tcW w:type="dxa" w:w="1440"/>
          </w:tcPr>
          <w:p>
            <w:r>
              <w:t>predictive</w:t>
            </w:r>
          </w:p>
        </w:tc>
        <w:tc>
          <w:tcPr>
            <w:tcW w:type="dxa" w:w="1440"/>
          </w:tcPr>
          <w:p>
            <w:r>
              <w:t>8.5</w:t>
            </w:r>
          </w:p>
        </w:tc>
        <w:tc>
          <w:tcPr>
            <w:tcW w:type="dxa" w:w="1440"/>
          </w:tcPr>
          <w:p>
            <w:r>
              <w:t>0.076</w:t>
            </w:r>
          </w:p>
        </w:tc>
        <w:tc>
          <w:tcPr>
            <w:tcW w:type="dxa" w:w="1440"/>
          </w:tcPr>
          <w:p>
            <w:r>
              <w:t>0.094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</w:tr>
      <w:tr>
        <w:tc>
          <w:tcPr>
            <w:tcW w:type="dxa" w:w="1440"/>
          </w:tcPr>
          <w:p>
            <w:r>
              <w:t>WTI return (lag 1)</w:t>
            </w:r>
          </w:p>
        </w:tc>
        <w:tc>
          <w:tcPr>
            <w:tcW w:type="dxa" w:w="1440"/>
          </w:tcPr>
          <w:p>
            <w:r>
              <w:t>predictive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0.089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</w:tr>
    </w:tbl>
    <w:p/>
    <w:p>
      <w:r>
        <w:t>The original package reported Brent as the strongest "driver" of WTI. That association</w:t>
      </w:r>
    </w:p>
    <w:p>
      <w:r>
        <w:t xml:space="preserve">is real but </w:t>
      </w:r>
      <w:r>
        <w:rPr>
          <w:b/>
        </w:rPr>
        <w:t>non-predictive</w:t>
      </w:r>
      <w:r>
        <w:t>: Brent and WTI are the same commodity (return correlation</w:t>
      </w:r>
    </w:p>
    <w:p>
      <w:r>
        <w:t>≈ 0.96), so a same-month Brent state is essentially a restatement of the WTI state, not</w:t>
      </w:r>
    </w:p>
    <w:p>
      <w:r>
        <w:t>a forecast of it — one does not observe Brent's monthly return before WTI's. We therefore</w:t>
      </w:r>
    </w:p>
    <w:p>
      <w:r>
        <w:t>label it *contemporaneous* and exclude it from the predictive core.</w:t>
      </w:r>
    </w:p>
    <w:p>
      <w:r>
        <w:t>Once that tautology is set aside, the informative, forecast-usable signal comes from the</w:t>
      </w:r>
    </w:p>
    <w:p>
      <w:r>
        <w:rPr>
          <w:b/>
        </w:rPr>
        <w:t>non-oil drivers</w:t>
      </w:r>
      <w:r>
        <w:t xml:space="preserve"> — lagged VIX, the lagged dollar return and lagged inventory change —</w:t>
      </w:r>
    </w:p>
    <w:p>
      <w:r>
        <w:t>while oil's own lag and rolling volatility are comparatively weak. This is the concrete</w:t>
      </w:r>
    </w:p>
    <w:p>
      <w:r>
        <w:t>payoff of widening the panel: the conditional structure that a Bayesian network exists to</w:t>
      </w:r>
    </w:p>
    <w:p>
      <w:r>
        <w:t>exploit lives *outside* the oil complex, not inside it.</w:t>
      </w:r>
    </w:p>
    <w:p>
      <w:pPr>
        <w:pStyle w:val="IntenseQuote"/>
      </w:pPr>
      <w:r>
        <w:rPr>
          <w:b/>
        </w:rPr>
        <w:t>Honesty note.</w:t>
      </w:r>
      <w:r>
        <w:t xml:space="preserve"> The magnitudes above come from the labelled synthetic fallback used</w:t>
      </w:r>
    </w:p>
    <w:p>
      <w:pPr>
        <w:pStyle w:val="IntenseQuote"/>
      </w:pPr>
      <w:r>
        <w:t>for offline execution, in which the non-oil series carry a small, economically-motivated</w:t>
      </w:r>
    </w:p>
    <w:p>
      <w:pPr>
        <w:pStyle w:val="IntenseQuote"/>
      </w:pPr>
      <w:r>
        <w:t>lead on next-month oil. On the live FRED data these relationships are typically weaker</w:t>
      </w:r>
    </w:p>
    <w:p>
      <w:pPr>
        <w:pStyle w:val="IntenseQuote"/>
      </w:pPr>
      <w:r>
        <w:t>and monthly oil is genuinely hard to predict; the *method* and the *contemporaneous-vs-</w:t>
      </w:r>
    </w:p>
    <w:p>
      <w:pPr>
        <w:pStyle w:val="IntenseQuote"/>
      </w:pPr>
      <w:r>
        <w:t xml:space="preserve">predictive* distinction are what transfer. Re-run with </w:t>
      </w:r>
      <w:r>
        <w:rPr>
          <w:rFonts w:ascii="Consolas" w:hAnsi="Consolas"/>
          <w:color w:val="B03030"/>
          <w:sz w:val="19"/>
        </w:rPr>
        <w:t>USE_LIVE = True</w:t>
      </w:r>
      <w:r>
        <w:t xml:space="preserve"> and report the</w:t>
      </w:r>
    </w:p>
    <w:p>
      <w:pPr>
        <w:pStyle w:val="IntenseQuote"/>
      </w:pPr>
      <w:r>
        <w:t>real numbers.</w:t>
      </w:r>
    </w:p>
    <w:p>
      <w:pPr>
        <w:pStyle w:val="Heading2"/>
      </w:pPr>
      <w:r>
        <w:t>4b. A directed Bayesian-network skeleton</w:t>
      </w:r>
    </w:p>
    <w:p>
      <w:r>
        <w:t>The original graph was drawn with undirected edges despite being described as directed —</w:t>
      </w:r>
    </w:p>
    <w:p>
      <w:r>
        <w:t>a problem, since directionality is the entire point of a belief network. The corrected</w:t>
      </w:r>
    </w:p>
    <w:p>
      <w:r>
        <w:t xml:space="preserve">skeleton (Figure 6b) draws </w:t>
      </w:r>
      <w:r>
        <w:rPr>
          <w:b/>
        </w:rPr>
        <w:t>directed</w:t>
      </w:r>
      <w:r>
        <w:t xml:space="preserve"> edges: the predictive parents (lagged VIX, dollar,</w:t>
      </w:r>
    </w:p>
    <w:p>
      <w:r>
        <w:t>inventory, WTI lag, rolling volatility) point *into* the WTI return state as solid arrows;</w:t>
      </w:r>
    </w:p>
    <w:p>
      <w:r>
        <w:t>the WTI state points *out* to next-period oil volatility (a child, completing a Markov</w:t>
      </w:r>
    </w:p>
    <w:p>
      <w:r>
        <w:t>blanket); and the contemporaneous Brent link is drawn as a dashed edge to flag that it is</w:t>
      </w:r>
    </w:p>
    <w:p>
      <w:r>
        <w:t>descriptive, not forecast-usable. The vague "scenario discussion" node is removed.</w:t>
      </w:r>
    </w:p>
    <w:p>
      <w:pPr>
        <w:pStyle w:val="Heading2"/>
      </w:pPr>
      <w:r>
        <w:t>3c. Distribution figure</w:t>
      </w:r>
    </w:p>
    <w:p>
      <w:r>
        <w:t>The distribution plot now overlays a fitted Normal density and adds a Normal Q–Q plot</w:t>
      </w:r>
    </w:p>
    <w:p>
      <w:r>
        <w:t>(Figure 3b), so the leptokurtosis and fat tails (excess kurtosis ≈ 7.8) are visible as a</w:t>
      </w:r>
    </w:p>
    <w:p>
      <w:r>
        <w:t>departure from the reference line rather than asserted only in the summary table.</w:t>
      </w:r>
    </w:p>
    <w:p>
      <w:pPr>
        <w:pStyle w:val="Heading2"/>
      </w:pPr>
      <w:r>
        <w:t>Data-provenance caveat (2026 observations)</w:t>
      </w:r>
    </w:p>
    <w:p>
      <w:r>
        <w:t xml:space="preserve">The EIA monthly WTI series in </w:t>
      </w:r>
      <w:r>
        <w:rPr>
          <w:rFonts w:ascii="Consolas" w:hAnsi="Consolas"/>
          <w:color w:val="B03030"/>
          <w:sz w:val="19"/>
        </w:rPr>
        <w:t>data/</w:t>
      </w:r>
      <w:r>
        <w:t xml:space="preserve"> includes a large move in </w:t>
      </w:r>
      <w:r>
        <w:rPr>
          <w:b/>
        </w:rPr>
        <w:t>March 2026</w:t>
      </w:r>
    </w:p>
    <w:p>
      <w:r>
        <w:t>(≈ +35% log, WTI rising from ~\$64 to ~\$91, then to ~\$102 by May). This single event</w:t>
      </w:r>
    </w:p>
    <w:p>
      <w:r>
        <w:t>enters the tail statistics alongside 2008 and 2020. Before submission, confirm that these</w:t>
      </w:r>
    </w:p>
    <w:p>
      <w:r>
        <w:t xml:space="preserve">2026 months are </w:t>
      </w:r>
      <w:r>
        <w:rPr>
          <w:b/>
        </w:rPr>
        <w:t>realised</w:t>
      </w:r>
      <w:r>
        <w:t xml:space="preserve"> EIA monthly averages and not provisional / forward-curve</w:t>
      </w:r>
    </w:p>
    <w:p>
      <w:r>
        <w:t>placeholders, since they materially affect the reported kurtosis and the "2026 crisis"</w:t>
      </w:r>
    </w:p>
    <w:p>
      <w:r>
        <w:t>claim. If they cannot be verified, report results both with and without the 2026 window.</w:t>
      </w:r>
    </w:p>
    <w:p>
      <w:pPr>
        <w:jc w:val="center"/>
      </w:pPr>
      <w:r>
        <w:t>____________________________________________________________</w:t>
      </w:r>
    </w:p>
    <w:p>
      <w:pPr>
        <w:pStyle w:val="Heading3"/>
      </w:pPr>
      <w:r>
        <w:t>Summary of changes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Weakness (original)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Fix (this addendum)</w:t>
            </w:r>
          </w:p>
        </w:tc>
      </w:tr>
      <w:tr>
        <w:tc>
          <w:tcPr>
            <w:tcW w:type="dxa" w:w="4320"/>
          </w:tcPr>
          <w:p>
            <w:r>
              <w:t>Oil-only panel</w:t>
            </w:r>
          </w:p>
        </w:tc>
        <w:tc>
          <w:tcPr>
            <w:tcW w:type="dxa" w:w="4320"/>
          </w:tcPr>
          <w:p>
            <w:r>
              <w:t>Added USD index, VIX, US crude inventories (macro / financial / physical).</w:t>
            </w:r>
          </w:p>
        </w:tc>
      </w:tr>
      <w:tr>
        <w:tc>
          <w:tcPr>
            <w:tcW w:type="dxa" w:w="4320"/>
          </w:tcPr>
          <w:p>
            <w:r>
              <w:t>Brent shown as top "driver" (tautological)</w:t>
            </w:r>
          </w:p>
        </w:tc>
        <w:tc>
          <w:tcPr>
            <w:tcW w:type="dxa" w:w="4320"/>
          </w:tcPr>
          <w:p>
            <w:r>
              <w:t>Split contemporaneous vs predictive; Brent flagged non-forecast; non-oil lagged drivers identified as the informative parents.</w:t>
            </w:r>
          </w:p>
        </w:tc>
      </w:tr>
      <w:tr>
        <w:tc>
          <w:tcPr>
            <w:tcW w:type="dxa" w:w="4320"/>
          </w:tcPr>
          <w:p>
            <w:r>
              <w:t>Undirected "directed" graph</w:t>
            </w:r>
          </w:p>
        </w:tc>
        <w:tc>
          <w:tcPr>
            <w:tcW w:type="dxa" w:w="4320"/>
          </w:tcPr>
          <w:p>
            <w:r>
              <w:t>Proper directed skeleton with predictive parents, a child, and a dashed contemporaneous edge.</w:t>
            </w:r>
          </w:p>
        </w:tc>
      </w:tr>
      <w:tr>
        <w:tc>
          <w:tcPr>
            <w:tcW w:type="dxa" w:w="4320"/>
          </w:tcPr>
          <w:p>
            <w:r>
              <w:t>Bare distribution histogram</w:t>
            </w:r>
          </w:p>
        </w:tc>
        <w:tc>
          <w:tcPr>
            <w:tcW w:type="dxa" w:w="4320"/>
          </w:tcPr>
          <w:p>
            <w:r>
              <w:t>Normal overlay + Q-Q plot.</w:t>
            </w:r>
          </w:p>
        </w:tc>
      </w:tr>
      <w:tr>
        <w:tc>
          <w:tcPr>
            <w:tcW w:type="dxa" w:w="4320"/>
          </w:tcPr>
          <w:p>
            <w:r>
              <w:t>Unverified 2026 spike</w:t>
            </w:r>
          </w:p>
        </w:tc>
        <w:tc>
          <w:tcPr>
            <w:tcW w:type="dxa" w:w="4320"/>
          </w:tcPr>
          <w:p>
            <w:r>
              <w:t>Explicit provenance caveat + robustness suggestion.</w:t>
            </w:r>
          </w:p>
        </w:tc>
      </w:tr>
    </w:tbl>
    <w:p/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Appendix — v2 Figures</w:t>
      </w:r>
    </w:p>
    <w:p>
      <w:r>
        <w:rPr>
          <w:b/>
        </w:rPr>
        <w:t>Figure 3b — Distribution with Normal overlay + Q-Q.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437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fig3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43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6b — Directed BN skeleton (green predictive, dashed red contemporaneous).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654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fig6_directed_b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65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7b — Dependence with WTI state (predictive vs contemporaneous).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fig7_driver_depend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