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olor w:val="1F4E78"/>
          <w:sz w:val="32"/>
        </w:rPr>
        <w:t>OHT Land Clearance Status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4" w:space="0" w:color="B0C4DE"/>
          <w:insideV w:val="single" w:sz="4" w:space="0" w:color="B0C4DE"/>
        </w:tblBorders>
      </w:tblPr>
      <w:tblGrid>
        <w:gridCol w:w="1680"/>
        <w:gridCol w:w="1680"/>
        <w:gridCol w:w="1680"/>
        <w:gridCol w:w="1680"/>
        <w:gridCol w:w="1680"/>
        <w:gridCol w:w="1680"/>
      </w:tblGrid>
      <w:tr>
        <w:tc>
          <w:tcPr>
            <w:tcW w:type="dxa" w:w="720"/>
            <w:shd w:fill="1F4E78"/>
            <w:tcMar>
              <w:top w:w="120" w:type="dxa"/>
              <w:bottom w:w="120" w:type="dxa"/>
              <w:left w:w="100" w:type="dxa"/>
              <w:right w:w="100" w:type="dxa"/>
            </w:tcMar>
          </w:tcPr>
          <w:p>
            <w:pPr>
              <w:jc w:val="center"/>
            </w:pPr>
            <w:r>
              <w:rPr>
                <w:rFonts w:ascii="Calibri" w:hAnsi="Calibri"/>
                <w:b/>
                <w:color w:val="FFFFFF"/>
                <w:sz w:val="20"/>
              </w:rPr>
              <w:t>S. No</w:t>
            </w:r>
          </w:p>
        </w:tc>
        <w:tc>
          <w:tcPr>
            <w:tcW w:type="dxa" w:w="1584"/>
            <w:shd w:fill="1F4E78"/>
            <w:tcMar>
              <w:top w:w="120" w:type="dxa"/>
              <w:bottom w:w="120" w:type="dxa"/>
              <w:left w:w="100" w:type="dxa"/>
              <w:right w:w="100" w:type="dxa"/>
            </w:tcMar>
          </w:tcPr>
          <w:p>
            <w:pPr>
              <w:jc w:val="center"/>
            </w:pPr>
            <w:r>
              <w:rPr>
                <w:rFonts w:ascii="Calibri" w:hAnsi="Calibri"/>
                <w:b/>
                <w:color w:val="FFFFFF"/>
                <w:sz w:val="20"/>
              </w:rPr>
              <w:t>MBR Name</w:t>
            </w:r>
          </w:p>
        </w:tc>
        <w:tc>
          <w:tcPr>
            <w:tcW w:type="dxa" w:w="1584"/>
            <w:shd w:fill="1F4E78"/>
            <w:tcMar>
              <w:top w:w="120" w:type="dxa"/>
              <w:bottom w:w="120" w:type="dxa"/>
              <w:left w:w="100" w:type="dxa"/>
              <w:right w:w="100" w:type="dxa"/>
            </w:tcMar>
          </w:tcPr>
          <w:p>
            <w:pPr>
              <w:jc w:val="center"/>
            </w:pPr>
            <w:r>
              <w:rPr>
                <w:rFonts w:ascii="Calibri" w:hAnsi="Calibri"/>
                <w:b/>
                <w:color w:val="FFFFFF"/>
                <w:sz w:val="20"/>
              </w:rPr>
              <w:t>OHT Name</w:t>
            </w:r>
          </w:p>
        </w:tc>
        <w:tc>
          <w:tcPr>
            <w:tcW w:type="dxa" w:w="1152"/>
            <w:shd w:fill="1F4E78"/>
            <w:tcMar>
              <w:top w:w="120" w:type="dxa"/>
              <w:bottom w:w="120" w:type="dxa"/>
              <w:left w:w="100" w:type="dxa"/>
              <w:right w:w="100" w:type="dxa"/>
            </w:tcMar>
          </w:tcPr>
          <w:p>
            <w:pPr>
              <w:jc w:val="center"/>
            </w:pPr>
            <w:r>
              <w:rPr>
                <w:rFonts w:ascii="Calibri" w:hAnsi="Calibri"/>
                <w:b/>
                <w:color w:val="FFFFFF"/>
                <w:sz w:val="20"/>
              </w:rPr>
              <w:t>OHT Cap. (KL)</w:t>
            </w:r>
          </w:p>
        </w:tc>
        <w:tc>
          <w:tcPr>
            <w:tcW w:type="dxa" w:w="1152"/>
            <w:shd w:fill="1F4E78"/>
            <w:tcMar>
              <w:top w:w="120" w:type="dxa"/>
              <w:bottom w:w="120" w:type="dxa"/>
              <w:left w:w="100" w:type="dxa"/>
              <w:right w:w="100" w:type="dxa"/>
            </w:tcMar>
          </w:tcPr>
          <w:p>
            <w:pPr>
              <w:jc w:val="center"/>
            </w:pPr>
            <w:r>
              <w:rPr>
                <w:rFonts w:ascii="Calibri" w:hAnsi="Calibri"/>
                <w:b/>
                <w:color w:val="FFFFFF"/>
                <w:sz w:val="20"/>
              </w:rPr>
              <w:t>Staging Height (M)</w:t>
            </w:r>
          </w:p>
        </w:tc>
        <w:tc>
          <w:tcPr>
            <w:tcW w:type="dxa" w:w="4608"/>
            <w:shd w:fill="1F4E78"/>
            <w:tcMar>
              <w:top w:w="120" w:type="dxa"/>
              <w:bottom w:w="120" w:type="dxa"/>
              <w:left w:w="100" w:type="dxa"/>
              <w:right w:w="100" w:type="dxa"/>
            </w:tcMar>
          </w:tcPr>
          <w:p>
            <w:pPr>
              <w:jc w:val="center"/>
            </w:pPr>
            <w:r>
              <w:rPr>
                <w:rFonts w:ascii="Calibri" w:hAnsi="Calibri"/>
                <w:b/>
                <w:color w:val="FFFFFF"/>
                <w:sz w:val="20"/>
              </w:rPr>
              <w:t>L&amp;T Remarks on OHT Land Clearance as on date</w:t>
            </w:r>
          </w:p>
        </w:tc>
      </w:tr>
      <w:tr>
        <w:tc>
          <w:tcPr>
            <w:tcW w:type="dxa" w:w="720"/>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Chillampahari</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Baroda Kalan</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120</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12</w:t>
            </w:r>
          </w:p>
        </w:tc>
        <w:tc>
          <w:tcPr>
            <w:tcW w:type="dxa" w:w="4608"/>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Due to the addition of two new habitations to the distribution network, a minimum staging height of 28 m is required to maintain the stipulated minimum residual pressure of 7 m. However, the CPHEEO Manual recommends a maximum staging height of 25 m.</w:t>
            </w:r>
          </w:p>
          <w:p>
            <w:pPr>
              <w:spacing w:before="80" w:after="40" w:line="276" w:lineRule="auto"/>
            </w:pPr>
            <w:r>
              <w:rPr>
                <w:rFonts w:ascii="Calibri" w:hAnsi="Calibri"/>
                <w:color w:val="333333"/>
                <w:sz w:val="19"/>
              </w:rPr>
              <w:t>In view of the above, you are requested to identify and propose an alternative location for the ESR to ensure compliance with the prescribed hydraulic requirements.</w:t>
            </w:r>
          </w:p>
          <w:p>
            <w:pPr>
              <w:spacing w:before="80" w:after="40" w:line="276" w:lineRule="auto"/>
            </w:pPr>
            <w:r>
              <w:rPr>
                <w:rFonts w:ascii="Calibri" w:hAnsi="Calibri"/>
                <w:color w:val="333333"/>
                <w:sz w:val="19"/>
              </w:rPr>
              <w:t>Further, one of the habitation (Rama ka pura) falls within forest land and involves unauthorized occupation, as reported by forest department and same was informed via letter no . LTCD/RAJGHATDAMMVS /WET/RWS/UK/2025-26/1964.</w:t>
            </w:r>
          </w:p>
          <w:p>
            <w:pPr>
              <w:spacing w:before="80" w:after="40" w:line="276" w:lineRule="auto"/>
            </w:pPr>
            <w:r>
              <w:rPr>
                <w:rFonts w:ascii="Calibri" w:hAnsi="Calibri"/>
                <w:color w:val="333333"/>
                <w:sz w:val="19"/>
              </w:rPr>
              <w:t>The above information is also communicated vide letter no 2825 dated 16.10.2026.</w:t>
            </w:r>
          </w:p>
        </w:tc>
      </w:tr>
      <w:tr>
        <w:tc>
          <w:tcPr>
            <w:tcW w:type="dxa" w:w="720"/>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2</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Chillampahari</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Kadarpura</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100</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20</w:t>
            </w:r>
          </w:p>
        </w:tc>
        <w:tc>
          <w:tcPr>
            <w:tcW w:type="dxa" w:w="4608"/>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Following the change in the OHT location, the revised hydraulic design was submitted for confirmation vide Letter No. 2815 dated 08.10.2026. The necessary confirmation is still awaited to proceed with the work.</w:t>
            </w:r>
          </w:p>
        </w:tc>
      </w:tr>
      <w:tr>
        <w:tc>
          <w:tcPr>
            <w:tcW w:type="dxa" w:w="720"/>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3</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Chillampahari</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Laxmanpura</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130</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20</w:t>
            </w:r>
          </w:p>
        </w:tc>
        <w:tc>
          <w:tcPr>
            <w:tcW w:type="dxa" w:w="4608"/>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The identified OHT location has been excavated by local residents for cultivation. Accordingly, during a joint site visit, MPJNM suggested an alternative location approximately 100 m away from the original location, which falls within the forest boundary. Therefore, permission from the Forest Department is required before proceeding with the design work at the proposed location.</w:t>
            </w:r>
          </w:p>
        </w:tc>
      </w:tr>
      <w:tr>
        <w:tc>
          <w:tcPr>
            <w:tcW w:type="dxa" w:w="720"/>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4</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Chillampahari</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Mudiya Garh</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100</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22</w:t>
            </w:r>
          </w:p>
        </w:tc>
        <w:tc>
          <w:tcPr>
            <w:tcW w:type="dxa" w:w="4608"/>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Work will commence shortly.</w:t>
            </w:r>
          </w:p>
        </w:tc>
      </w:tr>
      <w:tr>
        <w:tc>
          <w:tcPr>
            <w:tcW w:type="dxa" w:w="720"/>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5</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Chillampahari</w:t>
            </w:r>
          </w:p>
        </w:tc>
        <w:tc>
          <w:tcPr>
            <w:tcW w:type="dxa" w:w="1584"/>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Patan</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100</w:t>
            </w:r>
          </w:p>
        </w:tc>
        <w:tc>
          <w:tcPr>
            <w:tcW w:type="dxa" w:w="1152"/>
            <w:shd w:fill="FFFFFF"/>
            <w:tcMar>
              <w:top w:w="100" w:type="dxa"/>
              <w:bottom w:w="100" w:type="dxa"/>
              <w:left w:w="100" w:type="dxa"/>
              <w:right w:w="100" w:type="dxa"/>
            </w:tcMar>
          </w:tcPr>
          <w:p>
            <w:pPr>
              <w:spacing w:before="0" w:after="40" w:line="276" w:lineRule="auto"/>
              <w:jc w:val="center"/>
            </w:pPr>
            <w:r/>
            <w:r>
              <w:rPr>
                <w:rFonts w:ascii="Calibri" w:hAnsi="Calibri"/>
                <w:color w:val="333333"/>
                <w:sz w:val="19"/>
              </w:rPr>
              <w:t>12</w:t>
            </w:r>
          </w:p>
        </w:tc>
        <w:tc>
          <w:tcPr>
            <w:tcW w:type="dxa" w:w="4608"/>
            <w:shd w:fill="FFFFFF"/>
            <w:tcMar>
              <w:top w:w="100" w:type="dxa"/>
              <w:bottom w:w="100" w:type="dxa"/>
              <w:left w:w="100" w:type="dxa"/>
              <w:right w:w="100" w:type="dxa"/>
            </w:tcMar>
          </w:tcPr>
          <w:p>
            <w:pPr>
              <w:spacing w:before="0" w:after="40" w:line="276" w:lineRule="auto"/>
              <w:jc w:val="left"/>
            </w:pPr>
            <w:r/>
            <w:r>
              <w:rPr>
                <w:rFonts w:ascii="Calibri" w:hAnsi="Calibri"/>
                <w:color w:val="333333"/>
                <w:sz w:val="19"/>
              </w:rPr>
              <w:t>Following the change in the OHT location, the revised hydraulic design was submitted for confirmation vide Letter No. 2815 dated 08.10.2026. The necessary confirmation is still awaited to proceed with the work.</w:t>
            </w:r>
          </w:p>
        </w:tc>
      </w:tr>
      <w:tr>
        <w:tc>
          <w:tcPr>
            <w:tcW w:type="dxa" w:w="720"/>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6</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Pipaliya</w:t>
            </w:r>
          </w:p>
        </w:tc>
        <w:tc>
          <w:tcPr>
            <w:tcW w:type="dxa" w:w="1584"/>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Kankarya</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100</w:t>
            </w:r>
          </w:p>
        </w:tc>
        <w:tc>
          <w:tcPr>
            <w:tcW w:type="dxa" w:w="1152"/>
            <w:shd w:fill="F2F5F8"/>
            <w:tcMar>
              <w:top w:w="100" w:type="dxa"/>
              <w:bottom w:w="100" w:type="dxa"/>
              <w:left w:w="100" w:type="dxa"/>
              <w:right w:w="100" w:type="dxa"/>
            </w:tcMar>
          </w:tcPr>
          <w:p>
            <w:pPr>
              <w:spacing w:before="0" w:after="40" w:line="276" w:lineRule="auto"/>
              <w:jc w:val="center"/>
            </w:pPr>
            <w:r/>
            <w:r>
              <w:rPr>
                <w:rFonts w:ascii="Calibri" w:hAnsi="Calibri"/>
                <w:color w:val="333333"/>
                <w:sz w:val="19"/>
              </w:rPr>
              <w:t>12</w:t>
            </w:r>
          </w:p>
        </w:tc>
        <w:tc>
          <w:tcPr>
            <w:tcW w:type="dxa" w:w="4608"/>
            <w:shd w:fill="F2F5F8"/>
            <w:tcMar>
              <w:top w:w="100" w:type="dxa"/>
              <w:bottom w:w="100" w:type="dxa"/>
              <w:left w:w="100" w:type="dxa"/>
              <w:right w:w="100" w:type="dxa"/>
            </w:tcMar>
          </w:tcPr>
          <w:p>
            <w:pPr>
              <w:spacing w:before="0" w:after="40" w:line="276" w:lineRule="auto"/>
              <w:jc w:val="left"/>
            </w:pPr>
            <w:r/>
            <w:r>
              <w:rPr>
                <w:rFonts w:ascii="Calibri" w:hAnsi="Calibri"/>
                <w:color w:val="333333"/>
                <w:sz w:val="19"/>
              </w:rPr>
              <w:t>Drawing submitted for your review &amp; approval</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