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1C08A8B" w:rsidR="00B74D9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21</w:t>
      </w:r>
      <w:r w:rsidR="00CE040E">
        <w:rPr>
          <w:rFonts w:ascii="Garamond" w:hAnsi="Garamond"/>
          <w:sz w:val="24"/>
        </w:rPr>
        <w:t>1</w:t>
      </w:r>
      <w:r>
        <w:rPr>
          <w:rFonts w:ascii="Garamond" w:hAnsi="Garamond"/>
          <w:sz w:val="24"/>
        </w:rPr>
        <w:t xml:space="preserve">1 </w:t>
      </w:r>
      <w:r w:rsidR="00CE040E">
        <w:rPr>
          <w:rFonts w:ascii="Garamond" w:hAnsi="Garamond"/>
          <w:sz w:val="24"/>
        </w:rPr>
        <w:t>W. Riverside Ave</w:t>
      </w:r>
      <w:r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6502D8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69D62BB4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2E0926C5" w14:textId="77777777" w:rsidR="00A4561B" w:rsidRPr="000E4276" w:rsidRDefault="006502D8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8999926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University,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6502D8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6502D8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0E5C6F93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 denotes undergraduate student)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30090AA" w14:textId="79B6391C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 xml:space="preserve">, K.K.,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 xml:space="preserve">Biological Journal of the </w:t>
      </w:r>
      <w:proofErr w:type="spellStart"/>
      <w:r w:rsidRPr="000E4276">
        <w:rPr>
          <w:rFonts w:ascii="Garamond" w:hAnsi="Garamond"/>
          <w:b/>
          <w:i/>
        </w:rPr>
        <w:t>Linnean</w:t>
      </w:r>
      <w:proofErr w:type="spellEnd"/>
      <w:r w:rsidRPr="000E4276">
        <w:rPr>
          <w:rFonts w:ascii="Garamond" w:hAnsi="Garamond"/>
          <w:b/>
          <w:i/>
        </w:rPr>
        <w:t xml:space="preserve">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0B3118AC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</w:t>
      </w:r>
      <w:r w:rsidR="009D40F2" w:rsidRPr="000E4276">
        <w:rPr>
          <w:rFonts w:ascii="Garamond" w:hAnsi="Garamond"/>
          <w:b/>
          <w:i/>
        </w:rPr>
        <w:lastRenderedPageBreak/>
        <w:t>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 xml:space="preserve">Anolis </w:t>
      </w:r>
      <w:proofErr w:type="spellStart"/>
      <w:r w:rsidR="00A0780B" w:rsidRPr="000E4276">
        <w:rPr>
          <w:rFonts w:ascii="Garamond" w:hAnsi="Garamond"/>
          <w:i/>
        </w:rPr>
        <w:t>carolinensis</w:t>
      </w:r>
      <w:proofErr w:type="spellEnd"/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6502D8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26513BAE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bookmarkStart w:id="0" w:name="_GoBack"/>
      <w:bookmarkEnd w:id="0"/>
      <w:r w:rsidR="00ED60E8" w:rsidRPr="00ED60E8">
        <w:rPr>
          <w:rFonts w:ascii="Garamond" w:hAnsi="Garamond"/>
          <w:b w:val="0"/>
          <w:bCs w:val="0"/>
          <w:sz w:val="20"/>
          <w:szCs w:val="20"/>
        </w:rPr>
        <w:t>(* denotes undergraduate student)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05A0933" w14:textId="3A031B26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91F96A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6BE2B786" w14:textId="34F04D4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Anderson, M.*, Chen, Y.*, Dearing, R.*, Flores, K.*, Ferguson, J.*,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 xml:space="preserve">, J.*, Harris, B.*, Kaiser, Z.*, Kirk, J.*,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 xml:space="preserve">, K.*, McCann, B.*, Mueller, A.*, Ponce, K.*, Powers, A.*,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>,</w:t>
      </w:r>
      <w:r w:rsidRPr="00ED60E8">
        <w:rPr>
          <w:rFonts w:ascii="Garamond" w:hAnsi="Garamond"/>
          <w:bCs/>
          <w:lang w:val="en-US"/>
        </w:rPr>
        <w:t xml:space="preserve">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29C5B0D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Anderson, M.*, Chen, Y.*, Dearing, R.*, Flores, K.*, Ferguson, J.*,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 xml:space="preserve">, J.*, Harris, B.*, Kaiser, Z.*, Kirk, J.*,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 xml:space="preserve">, K.*, McCann, B.*, Mueller, A.*, Ponce, K.*, Powers, A.*,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6D7226A" w14:textId="035DDE43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365035D1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3BCD985B" w14:textId="4324705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K., Silverman, J.</w:t>
      </w:r>
      <w:r w:rsidR="00ED60E8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</w:t>
      </w:r>
      <w:proofErr w:type="gramStart"/>
      <w:r w:rsidR="009F7F35" w:rsidRPr="000E4276">
        <w:rPr>
          <w:rFonts w:ascii="Garamond" w:hAnsi="Garamond"/>
        </w:rPr>
        <w:t>use</w:t>
      </w:r>
      <w:proofErr w:type="gramEnd"/>
      <w:r w:rsidR="009F7F35" w:rsidRPr="000E4276">
        <w:rPr>
          <w:rFonts w:ascii="Garamond" w:hAnsi="Garamond"/>
        </w:rPr>
        <w:t xml:space="preserve">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6502D8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6502D8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3476710E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56EA4E4E" w14:textId="421898B3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Applied Linear Regression – A 3-day R-workshop in Statistical Analyses and Visualization Methods for Biologists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University,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127BE09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University,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77777777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Gas Exchange and </w:t>
      </w:r>
      <w:proofErr w:type="spellStart"/>
      <w:r>
        <w:rPr>
          <w:rFonts w:ascii="Garamond" w:hAnsi="Garamond"/>
          <w:b/>
        </w:rPr>
        <w:t>Homeostatis</w:t>
      </w:r>
      <w:proofErr w:type="spellEnd"/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lastRenderedPageBreak/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254518A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66D04F8E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088E8F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7777777" w:rsidR="00114A1B" w:rsidRPr="000E4276" w:rsidRDefault="006502D8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5B0C47" w:rsidRPr="000E4276">
        <w:rPr>
          <w:rFonts w:ascii="Garamond" w:hAnsi="Garamond"/>
          <w:sz w:val="32"/>
        </w:rPr>
        <w:t>341,609.00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324B3509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0A3E5E28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6502D8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6502D8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6502D8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0BA0711" w14:textId="77777777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6BADDECE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849778E" w14:textId="77777777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(2013-present)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31B25834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Reviewer for the following journals: Zoology (4), Journal of Morphology (</w:t>
      </w:r>
      <w:r w:rsidR="00DA6E9B"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 xml:space="preserve">Journal of Experimental Biology (3), Biological Journal of the </w:t>
      </w:r>
      <w:proofErr w:type="spellStart"/>
      <w:r w:rsidR="0051157E" w:rsidRPr="000E4276">
        <w:rPr>
          <w:rFonts w:ascii="Garamond" w:hAnsi="Garamond"/>
        </w:rPr>
        <w:t>Linnean</w:t>
      </w:r>
      <w:proofErr w:type="spellEnd"/>
      <w:r w:rsidR="0051157E" w:rsidRPr="000E4276">
        <w:rPr>
          <w:rFonts w:ascii="Garamond" w:hAnsi="Garamond"/>
        </w:rPr>
        <w:t xml:space="preserve"> Society (2),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5E49D0" w:rsidRPr="000E4276">
        <w:rPr>
          <w:rFonts w:ascii="Garamond" w:hAnsi="Garamond"/>
        </w:rPr>
        <w:t xml:space="preserve">Functional Ecology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6502D8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6502D8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64C67CD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0C36D8AD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6502D8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1C812" w14:textId="77777777" w:rsidR="006502D8" w:rsidRDefault="006502D8" w:rsidP="00C610F3">
      <w:r>
        <w:separator/>
      </w:r>
    </w:p>
  </w:endnote>
  <w:endnote w:type="continuationSeparator" w:id="0">
    <w:p w14:paraId="2BF8DF8F" w14:textId="77777777" w:rsidR="006502D8" w:rsidRDefault="006502D8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B445F" w14:textId="77777777" w:rsidR="006502D8" w:rsidRDefault="006502D8" w:rsidP="00C610F3">
      <w:r>
        <w:separator/>
      </w:r>
    </w:p>
  </w:footnote>
  <w:footnote w:type="continuationSeparator" w:id="0">
    <w:p w14:paraId="7F78140A" w14:textId="77777777" w:rsidR="006502D8" w:rsidRDefault="006502D8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4A1B"/>
    <w:rsid w:val="0011614C"/>
    <w:rsid w:val="0011630E"/>
    <w:rsid w:val="0012105E"/>
    <w:rsid w:val="00131A00"/>
    <w:rsid w:val="00133964"/>
    <w:rsid w:val="001434AE"/>
    <w:rsid w:val="00147F8E"/>
    <w:rsid w:val="001752AE"/>
    <w:rsid w:val="001906C2"/>
    <w:rsid w:val="00190B17"/>
    <w:rsid w:val="00193CE1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74231"/>
    <w:rsid w:val="00280D8C"/>
    <w:rsid w:val="00281180"/>
    <w:rsid w:val="002B351E"/>
    <w:rsid w:val="002B782D"/>
    <w:rsid w:val="002D51D5"/>
    <w:rsid w:val="00303F9C"/>
    <w:rsid w:val="00304BBA"/>
    <w:rsid w:val="00306CDA"/>
    <w:rsid w:val="00312685"/>
    <w:rsid w:val="00314293"/>
    <w:rsid w:val="00323C27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26E9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3B34"/>
    <w:rsid w:val="00594688"/>
    <w:rsid w:val="005B0C47"/>
    <w:rsid w:val="005B25E3"/>
    <w:rsid w:val="005D52D4"/>
    <w:rsid w:val="005E49D0"/>
    <w:rsid w:val="005F117A"/>
    <w:rsid w:val="006006B9"/>
    <w:rsid w:val="00613C75"/>
    <w:rsid w:val="00625FDC"/>
    <w:rsid w:val="00632BA9"/>
    <w:rsid w:val="00636DFE"/>
    <w:rsid w:val="006502D8"/>
    <w:rsid w:val="00665D63"/>
    <w:rsid w:val="00687820"/>
    <w:rsid w:val="006B7E0B"/>
    <w:rsid w:val="006C131A"/>
    <w:rsid w:val="006C2DE8"/>
    <w:rsid w:val="006C51B4"/>
    <w:rsid w:val="006E55A3"/>
    <w:rsid w:val="006E7717"/>
    <w:rsid w:val="006F265E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669A4"/>
    <w:rsid w:val="00767297"/>
    <w:rsid w:val="0077460A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823E2D"/>
    <w:rsid w:val="008377B2"/>
    <w:rsid w:val="008462B8"/>
    <w:rsid w:val="00867FAC"/>
    <w:rsid w:val="0087619F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AF9"/>
    <w:rsid w:val="00A323B9"/>
    <w:rsid w:val="00A4561B"/>
    <w:rsid w:val="00A674E6"/>
    <w:rsid w:val="00A7488D"/>
    <w:rsid w:val="00A85725"/>
    <w:rsid w:val="00A91F0E"/>
    <w:rsid w:val="00A958C5"/>
    <w:rsid w:val="00AB6006"/>
    <w:rsid w:val="00AD4B7C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69F1"/>
    <w:rsid w:val="00BF06FB"/>
    <w:rsid w:val="00C137DE"/>
    <w:rsid w:val="00C16E9B"/>
    <w:rsid w:val="00C203EB"/>
    <w:rsid w:val="00C413FF"/>
    <w:rsid w:val="00C51BC2"/>
    <w:rsid w:val="00C52716"/>
    <w:rsid w:val="00C610F3"/>
    <w:rsid w:val="00C6630C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17641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18</cp:revision>
  <cp:lastPrinted>2019-02-03T19:32:00Z</cp:lastPrinted>
  <dcterms:created xsi:type="dcterms:W3CDTF">2019-02-03T19:38:00Z</dcterms:created>
  <dcterms:modified xsi:type="dcterms:W3CDTF">2020-01-10T19:59:00Z</dcterms:modified>
</cp:coreProperties>
</file>