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9D34A55" w:rsidR="00B74D92" w:rsidRPr="000E4276" w:rsidRDefault="008931DC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1600 Ashland</w:t>
      </w:r>
      <w:r w:rsidR="00CE040E">
        <w:rPr>
          <w:rFonts w:ascii="Garamond" w:hAnsi="Garamond"/>
          <w:sz w:val="24"/>
        </w:rPr>
        <w:t xml:space="preserve"> Ave</w:t>
      </w:r>
      <w:r w:rsidR="000E4276"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A66891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22F0DEAC" w14:textId="288F2AFE" w:rsidR="005F34F9" w:rsidRPr="000E4276" w:rsidRDefault="005F34F9" w:rsidP="005F34F9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A66891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A66891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A6689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74E6BEC2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42B8C79" w14:textId="6FB4CFA4" w:rsidR="00FB20D9" w:rsidRPr="000E4276" w:rsidRDefault="00FB20D9" w:rsidP="00FB20D9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 xml:space="preserve">Schutt, N.*,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To appear in the </w:t>
      </w:r>
      <w:r w:rsidRPr="007F59EA">
        <w:rPr>
          <w:rFonts w:ascii="Garamond" w:hAnsi="Garamond"/>
          <w:b/>
          <w:bCs/>
          <w:i/>
          <w:iCs/>
          <w:lang w:val="en-US"/>
        </w:rPr>
        <w:t xml:space="preserve">Proceedings of the </w:t>
      </w:r>
      <w:r>
        <w:rPr>
          <w:rFonts w:ascii="Garamond" w:hAnsi="Garamond"/>
          <w:b/>
          <w:bCs/>
          <w:i/>
          <w:iCs/>
          <w:lang w:val="en-US"/>
        </w:rPr>
        <w:t>IJCAI</w:t>
      </w:r>
      <w:r w:rsidRPr="007F59EA">
        <w:rPr>
          <w:rFonts w:ascii="Garamond" w:hAnsi="Garamond"/>
          <w:b/>
          <w:bCs/>
          <w:i/>
          <w:iCs/>
          <w:lang w:val="en-US"/>
        </w:rPr>
        <w:t xml:space="preserve"> 2021 Workshop on AI for </w:t>
      </w:r>
      <w:r>
        <w:rPr>
          <w:rFonts w:ascii="Garamond" w:hAnsi="Garamond"/>
          <w:b/>
          <w:bCs/>
          <w:i/>
          <w:iCs/>
          <w:lang w:val="en-US"/>
        </w:rPr>
        <w:t>Social Good</w:t>
      </w:r>
      <w:r>
        <w:rPr>
          <w:rFonts w:ascii="Garamond" w:hAnsi="Garamond"/>
          <w:lang w:val="en-US"/>
        </w:rPr>
        <w:t>.</w:t>
      </w:r>
    </w:p>
    <w:p w14:paraId="45B8F6F7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38A5AFEF" w14:textId="6F2E2304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337254"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>.M.</w:t>
      </w:r>
      <w:r>
        <w:rPr>
          <w:rFonts w:ascii="Garamond" w:hAnsi="Garamond"/>
          <w:lang w:val="en-US"/>
        </w:rPr>
        <w:t xml:space="preserve">  </w:t>
      </w:r>
      <w:r w:rsidR="00590EA8">
        <w:rPr>
          <w:rFonts w:ascii="Garamond" w:hAnsi="Garamond"/>
          <w:lang w:val="en-US"/>
        </w:rPr>
        <w:t>2021</w:t>
      </w:r>
      <w:r>
        <w:rPr>
          <w:rFonts w:ascii="Garamond" w:hAnsi="Garamond"/>
          <w:lang w:val="en-US"/>
        </w:rPr>
        <w:t xml:space="preserve">.  </w:t>
      </w:r>
      <w:r>
        <w:rPr>
          <w:rFonts w:ascii="Garamond" w:hAnsi="Garamond"/>
        </w:rPr>
        <w:t>On the relationship between COVID-19 reported fatalities early in the pandemic and national socio-economic status predating the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590EA8">
        <w:rPr>
          <w:rFonts w:ascii="Garamond" w:hAnsi="Garamond"/>
          <w:b/>
          <w:bCs/>
          <w:i/>
          <w:iCs/>
          <w:lang w:val="en-US"/>
        </w:rPr>
        <w:t xml:space="preserve">AIMS Public Health </w:t>
      </w:r>
      <w:r w:rsidR="00590EA8">
        <w:rPr>
          <w:rFonts w:ascii="Garamond" w:hAnsi="Garamond"/>
          <w:lang w:val="en-US"/>
        </w:rPr>
        <w:t>8, 439-455.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77777777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>
        <w:rPr>
          <w:rFonts w:ascii="Garamond" w:hAnsi="Garamond"/>
          <w:lang w:val="en-US"/>
        </w:rPr>
        <w:t>.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05BD6C71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3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K.L.</w:t>
      </w:r>
      <w:r w:rsidR="007F59EA" w:rsidRPr="000E4276">
        <w:rPr>
          <w:rFonts w:ascii="Garamond" w:hAnsi="Garamond"/>
          <w:lang w:val="en-US"/>
        </w:rPr>
        <w:t xml:space="preserve"> 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 w:rsidRPr="000E4276">
        <w:rPr>
          <w:rFonts w:ascii="Garamond" w:hAnsi="Garamond"/>
          <w:lang w:val="en-US"/>
        </w:rPr>
        <w:t xml:space="preserve">, </w:t>
      </w:r>
      <w:r w:rsidR="007F59EA">
        <w:rPr>
          <w:rFonts w:ascii="Garamond" w:hAnsi="Garamond"/>
          <w:lang w:val="en-US"/>
        </w:rPr>
        <w:t>A</w:t>
      </w:r>
      <w:r w:rsidR="007F59EA" w:rsidRPr="000E4276">
        <w:rPr>
          <w:rFonts w:ascii="Garamond" w:hAnsi="Garamond"/>
          <w:lang w:val="en-US"/>
        </w:rPr>
        <w:t xml:space="preserve">.M.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Government measures against the COVID-19 pandemic must be determined according to the socio-economic status of the country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419F7E3E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2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07AD6DB2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11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</w:t>
      </w:r>
      <w:r>
        <w:rPr>
          <w:rFonts w:ascii="Garamond" w:hAnsi="Garamond"/>
          <w:lang w:val="en-US"/>
        </w:rPr>
        <w:t>, Carolan, L.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Smethers</w:t>
      </w:r>
      <w:proofErr w:type="spellEnd"/>
      <w:r>
        <w:rPr>
          <w:rFonts w:ascii="Garamond" w:hAnsi="Garamond"/>
          <w:lang w:val="en-US"/>
        </w:rPr>
        <w:t>, J.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Hernandez,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="007F59EA">
        <w:rPr>
          <w:rFonts w:ascii="Garamond" w:hAnsi="Garamond"/>
          <w:lang w:val="en-US"/>
        </w:rPr>
        <w:t xml:space="preserve">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 xml:space="preserve">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b/>
          <w:bCs/>
          <w:i/>
          <w:iCs/>
          <w:lang w:val="en-US"/>
        </w:rPr>
        <w:t>The Ohio Journal of Science</w:t>
      </w:r>
      <w:r w:rsidR="007F59EA">
        <w:rPr>
          <w:rFonts w:ascii="Garamond" w:hAnsi="Garamond"/>
          <w:lang w:val="en-US"/>
        </w:rPr>
        <w:t xml:space="preserve"> 121, forthcoming.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6FD6C4C7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10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 xml:space="preserve">, A.M.  2020.  </w:t>
      </w:r>
      <w:r w:rsidR="007F59EA">
        <w:rPr>
          <w:rFonts w:ascii="Garamond" w:hAnsi="Garamond"/>
        </w:rPr>
        <w:t xml:space="preserve">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ICML 2020 Workshop on Computational Biology</w:t>
      </w:r>
      <w:r w:rsidR="007F59EA">
        <w:rPr>
          <w:rFonts w:ascii="Garamond" w:hAnsi="Garamond"/>
          <w:lang w:val="en-US"/>
        </w:rPr>
        <w:t>.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44F21902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  <w:lang w:val="en-US"/>
        </w:rPr>
        <w:t>9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2020.  </w:t>
      </w:r>
      <w:r w:rsidR="007F59EA">
        <w:rPr>
          <w:rFonts w:ascii="Garamond" w:hAnsi="Garamond"/>
        </w:rPr>
        <w:t>Societal and economic factors associated with COVID-19 indicate that developing countries suffer the most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  <w:lang w:val="en-US"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  <w:lang w:val="en-US"/>
        </w:rPr>
        <w:t xml:space="preserve"> Social Sciences Journal</w:t>
      </w:r>
      <w:r w:rsidR="007F59EA">
        <w:rPr>
          <w:rFonts w:ascii="Garamond" w:hAnsi="Garamond"/>
          <w:lang w:val="en-US"/>
        </w:rPr>
        <w:t xml:space="preserve"> 10, 637-644.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7777777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>Biological Journal of the Linnean Society</w:t>
      </w:r>
      <w:r w:rsidRPr="000E4276">
        <w:rPr>
          <w:rFonts w:ascii="Garamond" w:hAnsi="Garamond"/>
        </w:rPr>
        <w:t xml:space="preserve"> 125, 673-692.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3646349A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77777777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77777777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>Anolis carolinensis</w:t>
      </w:r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0A96A869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</w:p>
    <w:p w14:paraId="21E5AD16" w14:textId="77777777" w:rsidR="009F7F35" w:rsidRPr="000E4276" w:rsidRDefault="00A66891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08AAE2B5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5D9387B" w14:textId="342CB5C6" w:rsidR="008931DC" w:rsidRPr="008931DC" w:rsidRDefault="008931DC" w:rsidP="008931DC">
      <w:pPr>
        <w:ind w:left="720" w:hanging="450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lang w:val="en-US"/>
        </w:rPr>
        <w:t>5</w:t>
      </w:r>
      <w:r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</w:t>
      </w:r>
      <w:r>
        <w:rPr>
          <w:rFonts w:ascii="Garamond" w:hAnsi="Garamond"/>
          <w:lang w:val="en-US"/>
        </w:rPr>
        <w:t>Gait stability of the spring-mass model of planar locomotion on inclines.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Upcoming invited </w:t>
      </w:r>
      <w:r>
        <w:rPr>
          <w:rFonts w:ascii="Garamond" w:hAnsi="Garamond"/>
        </w:rPr>
        <w:t>oral</w:t>
      </w:r>
      <w:r>
        <w:rPr>
          <w:rFonts w:ascii="Garamond" w:hAnsi="Garamond"/>
        </w:rPr>
        <w:t xml:space="preserve">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 xml:space="preserve">Evolutionary conservation and diversity in a key vertebrate behavior: </w:t>
      </w:r>
      <w:r>
        <w:rPr>
          <w:rFonts w:ascii="Garamond" w:hAnsi="Garamond"/>
          <w:i/>
          <w:iCs/>
          <w:lang w:val="en-US"/>
        </w:rPr>
        <w:t>W</w:t>
      </w:r>
      <w:r w:rsidRPr="008931DC">
        <w:rPr>
          <w:rFonts w:ascii="Garamond" w:hAnsi="Garamond"/>
          <w:i/>
          <w:iCs/>
          <w:lang w:val="en-US"/>
        </w:rPr>
        <w:t>alking as a model system</w:t>
      </w:r>
      <w:r>
        <w:rPr>
          <w:rFonts w:ascii="Garamond" w:hAnsi="Garamond"/>
          <w:i/>
          <w:iCs/>
          <w:lang w:val="en-US"/>
        </w:rPr>
        <w:t xml:space="preserve">’ </w:t>
      </w:r>
      <w:r>
        <w:rPr>
          <w:rFonts w:ascii="Garamond" w:hAnsi="Garamond"/>
          <w:lang w:val="en-US"/>
        </w:rPr>
        <w:t xml:space="preserve">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19588254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738C9A78" w14:textId="7949A03E" w:rsidR="008931DC" w:rsidRPr="008931DC" w:rsidRDefault="008931DC" w:rsidP="008931DC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>55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Upcoming invited </w:t>
      </w:r>
      <w:r>
        <w:rPr>
          <w:rFonts w:ascii="Garamond" w:hAnsi="Garamond"/>
        </w:rPr>
        <w:t>oral</w:t>
      </w:r>
      <w:r>
        <w:rPr>
          <w:rFonts w:ascii="Garamond" w:hAnsi="Garamond"/>
        </w:rPr>
        <w:t xml:space="preserve">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>Integrating ecology and biomechanics to investigate patterns of phenotypic diversity: Evolution, development, and functional traits</w:t>
      </w:r>
      <w:r>
        <w:rPr>
          <w:rFonts w:ascii="Garamond" w:hAnsi="Garamond"/>
          <w:i/>
          <w:iCs/>
          <w:lang w:val="en-US"/>
        </w:rPr>
        <w:t>’</w:t>
      </w:r>
      <w:r>
        <w:rPr>
          <w:rFonts w:ascii="Garamond" w:hAnsi="Garamond"/>
          <w:lang w:val="en-US"/>
        </w:rPr>
        <w:t xml:space="preserve"> 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740ED225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15B7F5D5" w14:textId="77777777" w:rsidR="008B2B27" w:rsidRPr="000E4276" w:rsidRDefault="008B2B27" w:rsidP="008B2B27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Schutt, N.*,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112E5A"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</w:t>
      </w:r>
      <w:r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International Joint Conference on Artificial Intelligence (IJCAI) – Workshop on AI for Social Good (Virtual Conference)</w:t>
      </w:r>
      <w:r w:rsidRPr="000E4276">
        <w:rPr>
          <w:rFonts w:ascii="Garamond" w:hAnsi="Garamond"/>
          <w:lang w:val="en-US"/>
        </w:rPr>
        <w:t>.</w:t>
      </w:r>
    </w:p>
    <w:p w14:paraId="4D5E9716" w14:textId="77777777" w:rsidR="008B2B27" w:rsidRPr="000E4276" w:rsidRDefault="008B2B27" w:rsidP="008B2B27">
      <w:pPr>
        <w:rPr>
          <w:rFonts w:ascii="Garamond" w:hAnsi="Garamond"/>
          <w:sz w:val="16"/>
          <w:szCs w:val="16"/>
        </w:rPr>
      </w:pPr>
    </w:p>
    <w:p w14:paraId="5D67A307" w14:textId="3D2206AA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</w:t>
      </w:r>
      <w:r w:rsidR="00590EA8">
        <w:rPr>
          <w:rFonts w:ascii="Garamond" w:hAnsi="Garamond"/>
          <w:lang w:val="en-US"/>
        </w:rPr>
        <w:t>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>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annual meeting of the </w:t>
      </w:r>
      <w:r>
        <w:rPr>
          <w:rFonts w:ascii="Garamond" w:hAnsi="Garamond"/>
          <w:lang w:val="en-US"/>
        </w:rPr>
        <w:t>Society for Experimental Biology (Virtual Conference)</w:t>
      </w:r>
      <w:r w:rsidRPr="000E4276">
        <w:rPr>
          <w:rFonts w:ascii="Garamond" w:hAnsi="Garamond"/>
          <w:lang w:val="en-US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052AAB1C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="00DD333C">
        <w:rPr>
          <w:rFonts w:ascii="Garamond" w:hAnsi="Garamond"/>
          <w:lang w:val="en-US"/>
        </w:rPr>
        <w:t>Menchhofer</w:t>
      </w:r>
      <w:proofErr w:type="spellEnd"/>
      <w:r w:rsidR="00DD333C">
        <w:rPr>
          <w:rFonts w:ascii="Garamond" w:hAnsi="Garamond"/>
          <w:lang w:val="en-US"/>
        </w:rPr>
        <w:t>, K.**, Mills, N.**,</w:t>
      </w:r>
      <w:r w:rsidR="00DD333C" w:rsidRPr="000E4276">
        <w:rPr>
          <w:rFonts w:ascii="Garamond" w:hAnsi="Garamond"/>
          <w:b/>
          <w:lang w:val="en-US"/>
        </w:rPr>
        <w:t xml:space="preserve"> Foster, K.L.</w:t>
      </w:r>
      <w:r w:rsidR="00DD333C">
        <w:rPr>
          <w:rFonts w:ascii="Garamond" w:hAnsi="Garamond"/>
          <w:lang w:val="en-US"/>
        </w:rPr>
        <w:t xml:space="preserve">, and </w:t>
      </w:r>
      <w:proofErr w:type="spellStart"/>
      <w:r w:rsidR="00DD333C">
        <w:rPr>
          <w:rFonts w:ascii="Garamond" w:hAnsi="Garamond"/>
          <w:lang w:val="en-US"/>
        </w:rPr>
        <w:t>Selvitella</w:t>
      </w:r>
      <w:proofErr w:type="spellEnd"/>
      <w:r w:rsidR="00DD333C">
        <w:rPr>
          <w:rFonts w:ascii="Garamond" w:hAnsi="Garamond"/>
          <w:lang w:val="en-US"/>
        </w:rPr>
        <w:t xml:space="preserve">, A.M.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198638A3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1DF8AF7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bCs/>
          <w:lang w:val="en-US"/>
        </w:rPr>
        <w:t>Yakubik</w:t>
      </w:r>
      <w:proofErr w:type="spellEnd"/>
      <w:r>
        <w:rPr>
          <w:rFonts w:ascii="Garamond" w:hAnsi="Garamond"/>
          <w:bCs/>
          <w:lang w:val="en-US"/>
        </w:rPr>
        <w:t>, A.*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Stroud, T., </w:t>
      </w:r>
      <w:proofErr w:type="spellStart"/>
      <w:r>
        <w:rPr>
          <w:rFonts w:ascii="Garamond" w:hAnsi="Garamond"/>
          <w:bCs/>
          <w:lang w:val="en-US"/>
        </w:rPr>
        <w:t>Selvitella</w:t>
      </w:r>
      <w:proofErr w:type="spellEnd"/>
      <w:r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>annual meeting of the Canadian Society of Zoologists</w:t>
      </w:r>
      <w:r>
        <w:rPr>
          <w:rFonts w:ascii="Garamond" w:hAnsi="Garamond"/>
          <w:lang w:val="en-US"/>
        </w:rPr>
        <w:t xml:space="preserve"> (Virtual Conference)</w:t>
      </w:r>
      <w:r w:rsidRPr="000E4276">
        <w:rPr>
          <w:rFonts w:ascii="Garamond" w:hAnsi="Garamond"/>
          <w:lang w:val="en-US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</w:t>
      </w:r>
      <w:r>
        <w:rPr>
          <w:rFonts w:ascii="Garamond" w:hAnsi="Garamond"/>
          <w:lang w:val="en-US"/>
        </w:rPr>
        <w:t>oster</w:t>
      </w:r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Olson,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Hoang,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Do, D.A.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Schutt,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A higher-order Taylor expansion of the initial trajectory of COVID-19 cases and deaths via Bayesian hierarchical models: A toy problem and possible public </w:t>
      </w:r>
      <w:r>
        <w:rPr>
          <w:rFonts w:ascii="Garamond" w:hAnsi="Garamond"/>
        </w:rPr>
        <w:lastRenderedPageBreak/>
        <w:t>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K.R.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Sanders, A.*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Geometric and machine learning methods in biological shape analysis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</w:t>
      </w:r>
      <w:r w:rsidRPr="00ED60E8">
        <w:rPr>
          <w:rFonts w:ascii="Garamond" w:hAnsi="Garamond"/>
          <w:lang w:val="en-US"/>
        </w:rPr>
        <w:t xml:space="preserve"> presentation </w:t>
      </w:r>
      <w:r>
        <w:rPr>
          <w:rFonts w:ascii="Garamond" w:hAnsi="Garamond"/>
          <w:lang w:val="en-US"/>
        </w:rPr>
        <w:t>given at the Mathematics Continued Conference: A Research Conference for Undergraduates at University of Connecticut, Storrs, CT (Virtual Conference)</w:t>
      </w:r>
      <w:r w:rsidRPr="000E4276">
        <w:rPr>
          <w:rFonts w:ascii="Garamond" w:hAnsi="Garamond"/>
          <w:lang w:val="en-US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  <w:lang w:val="en-US"/>
        </w:rPr>
        <w:t>Anolis</w:t>
      </w:r>
      <w:r>
        <w:rPr>
          <w:rFonts w:ascii="Garamond" w:hAnsi="Garamond"/>
          <w:lang w:val="en-US"/>
        </w:rPr>
        <w:t xml:space="preserve"> lizards: A machine learning journey through ecomorphology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</w:t>
      </w:r>
      <w:r>
        <w:rPr>
          <w:rFonts w:ascii="Garamond" w:hAnsi="Garamond"/>
          <w:lang w:val="en-US"/>
        </w:rPr>
        <w:t>for the BSU Biology Graduate Student Seminar Series</w:t>
      </w:r>
      <w:r w:rsidRPr="000E4276">
        <w:rPr>
          <w:rFonts w:ascii="Garamond" w:hAnsi="Garamond"/>
          <w:lang w:val="en-US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Learning the locomotion </w:t>
      </w:r>
      <w:proofErr w:type="spellStart"/>
      <w:r>
        <w:rPr>
          <w:rFonts w:ascii="Garamond" w:hAnsi="Garamond"/>
          <w:lang w:val="en-US"/>
        </w:rPr>
        <w:t>behaviour</w:t>
      </w:r>
      <w:proofErr w:type="spellEnd"/>
      <w:r>
        <w:rPr>
          <w:rFonts w:ascii="Garamond" w:hAnsi="Garamond"/>
          <w:lang w:val="en-US"/>
        </w:rPr>
        <w:t xml:space="preserve"> of </w:t>
      </w:r>
      <w:proofErr w:type="gramStart"/>
      <w:r>
        <w:rPr>
          <w:rFonts w:ascii="Garamond" w:hAnsi="Garamond"/>
          <w:lang w:val="en-US"/>
        </w:rPr>
        <w:t>lizards</w:t>
      </w:r>
      <w:proofErr w:type="gramEnd"/>
      <w:r>
        <w:rPr>
          <w:rFonts w:ascii="Garamond" w:hAnsi="Garamond"/>
          <w:lang w:val="en-US"/>
        </w:rPr>
        <w:t xml:space="preserve"> transfers across environments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</w:t>
      </w:r>
      <w:r>
        <w:rPr>
          <w:rFonts w:ascii="Garamond" w:hAnsi="Garamond"/>
          <w:lang w:val="en-US"/>
        </w:rPr>
        <w:t xml:space="preserve">and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>
        <w:rPr>
          <w:rFonts w:ascii="Garamond" w:hAnsi="Garamond"/>
          <w:lang w:val="en-US"/>
        </w:rPr>
        <w:t xml:space="preserve">Mathematical and Computational Methods in Biology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</w:t>
      </w:r>
      <w:r w:rsidR="00155BE6">
        <w:rPr>
          <w:rFonts w:ascii="Garamond" w:hAnsi="Garamond"/>
          <w:lang w:val="en-US"/>
        </w:rPr>
        <w:t>)</w:t>
      </w:r>
      <w:r>
        <w:rPr>
          <w:rFonts w:ascii="Garamond" w:hAnsi="Garamond"/>
          <w:lang w:val="en-US"/>
        </w:rPr>
        <w:t xml:space="preserve"> Conference of the Mathematical Biology Institute at Ohio State University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Columbus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OH</w:t>
      </w:r>
      <w:r w:rsidRPr="000E4276">
        <w:rPr>
          <w:rFonts w:ascii="Garamond" w:hAnsi="Garamond"/>
          <w:lang w:val="en-US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Kirk, J.*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McCann, B.*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Mueller,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Ponce,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Powers,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Kirk,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McCann,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Mueller,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Ponce,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Powers,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Pr="000E4276">
        <w:rPr>
          <w:rFonts w:ascii="Garamond" w:hAnsi="Garamond"/>
          <w:lang w:val="en-US"/>
        </w:rPr>
        <w:t>Lutek</w:t>
      </w:r>
      <w:proofErr w:type="spellEnd"/>
      <w:r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Salameh, G.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</w:t>
      </w:r>
      <w:r w:rsidRPr="000E4276">
        <w:rPr>
          <w:rFonts w:ascii="Garamond" w:hAnsi="Garamond"/>
          <w:lang w:val="en-US"/>
        </w:rPr>
        <w:t>Oral</w:t>
      </w:r>
      <w:proofErr w:type="gramEnd"/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10</w:t>
      </w:r>
      <w:r w:rsidRPr="006D423F">
        <w:rPr>
          <w:rFonts w:ascii="Garamond" w:hAnsi="Garamond"/>
          <w:vertAlign w:val="superscript"/>
          <w:lang w:val="en-US"/>
        </w:rPr>
        <w:t>th</w:t>
      </w:r>
      <w:r>
        <w:rPr>
          <w:rFonts w:ascii="Garamond" w:hAnsi="Garamond"/>
          <w:lang w:val="en-US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Ottawa</w:t>
      </w:r>
      <w:r w:rsidRPr="000E4276">
        <w:rPr>
          <w:rFonts w:ascii="Garamond" w:hAnsi="Garamond"/>
          <w:lang w:val="en-US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>, Silverman, J.</w:t>
      </w:r>
      <w:r w:rsidR="00ED60E8"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use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A66891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A66891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lastRenderedPageBreak/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lastRenderedPageBreak/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0D4159EE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EF2E883" w14:textId="428417D6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2020-present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</w:t>
      </w:r>
    </w:p>
    <w:p w14:paraId="47CEF19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6916D50A" w14:textId="48FA39B1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3F629DE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7CD52EEF" w:rsidR="00114A1B" w:rsidRPr="000E4276" w:rsidRDefault="00A66891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0B4F0E">
        <w:rPr>
          <w:rFonts w:ascii="Garamond" w:hAnsi="Garamond"/>
          <w:sz w:val="32"/>
        </w:rPr>
        <w:t>615</w:t>
      </w:r>
      <w:r w:rsidR="0081278E">
        <w:rPr>
          <w:rFonts w:ascii="Garamond" w:hAnsi="Garamond"/>
          <w:sz w:val="32"/>
        </w:rPr>
        <w:t>,595</w:t>
      </w:r>
      <w:r w:rsidR="005B0C47" w:rsidRPr="000E4276">
        <w:rPr>
          <w:rFonts w:ascii="Garamond" w:hAnsi="Garamond"/>
          <w:sz w:val="32"/>
        </w:rPr>
        <w:t>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2268BF1" w14:textId="77C424F8" w:rsidR="00050569" w:rsidRPr="000E4276" w:rsidRDefault="00050569" w:rsidP="0005056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</w:t>
      </w:r>
      <w:r>
        <w:rPr>
          <w:rFonts w:ascii="Garamond" w:hAnsi="Garamond"/>
        </w:rPr>
        <w:t>1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NSF-Simons </w:t>
      </w:r>
      <w:r w:rsidR="000B4F0E">
        <w:rPr>
          <w:rFonts w:ascii="Garamond" w:hAnsi="Garamond"/>
        </w:rPr>
        <w:t xml:space="preserve">Center for Quantitative Biology </w:t>
      </w:r>
      <w:r>
        <w:rPr>
          <w:rFonts w:ascii="Garamond" w:hAnsi="Garamond"/>
        </w:rPr>
        <w:t xml:space="preserve">Pilot Project </w:t>
      </w:r>
      <w:r w:rsidR="000B4F0E">
        <w:rPr>
          <w:rFonts w:ascii="Garamond" w:hAnsi="Garamond"/>
        </w:rPr>
        <w:t>Program Grant – Collaborative Proposal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4</w:t>
      </w:r>
      <w:r w:rsidR="000B4F0E">
        <w:rPr>
          <w:rFonts w:ascii="Garamond" w:hAnsi="Garamond"/>
        </w:rPr>
        <w:t>8</w:t>
      </w:r>
      <w:r>
        <w:rPr>
          <w:rFonts w:ascii="Garamond" w:hAnsi="Garamond"/>
        </w:rPr>
        <w:t>,000 ($26,241</w:t>
      </w:r>
      <w:r w:rsidR="000B4F0E">
        <w:rPr>
          <w:rFonts w:ascii="Garamond" w:hAnsi="Garamond"/>
        </w:rPr>
        <w:t xml:space="preserve"> for Ball State University portion)</w:t>
      </w:r>
    </w:p>
    <w:p w14:paraId="5BD36FB8" w14:textId="77777777" w:rsidR="00050569" w:rsidRPr="000E4276" w:rsidRDefault="00050569" w:rsidP="00050569">
      <w:pPr>
        <w:rPr>
          <w:rFonts w:ascii="Garamond" w:hAnsi="Garamond"/>
          <w:sz w:val="16"/>
          <w:szCs w:val="16"/>
        </w:rPr>
      </w:pPr>
    </w:p>
    <w:p w14:paraId="5971D782" w14:textId="77777777" w:rsidR="00050569" w:rsidRPr="000E4276" w:rsidRDefault="00050569" w:rsidP="0005056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7F65851E" w14:textId="77777777" w:rsidR="00050569" w:rsidRPr="000E4276" w:rsidRDefault="00050569" w:rsidP="00050569">
      <w:pPr>
        <w:rPr>
          <w:rFonts w:ascii="Garamond" w:hAnsi="Garamond"/>
          <w:sz w:val="16"/>
          <w:szCs w:val="16"/>
        </w:rPr>
      </w:pPr>
    </w:p>
    <w:p w14:paraId="3E2CC8C1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571E56C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549BE825" w14:textId="77777777" w:rsidR="00777682" w:rsidRPr="000E4276" w:rsidRDefault="00A66891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A66891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A66891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8177497" w14:textId="3C00BBB8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Seminar Series and Working Groups in The Mathematical Laws of Morphology and Biomechanics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>
        <w:rPr>
          <w:rFonts w:ascii="Garamond" w:hAnsi="Garamond"/>
        </w:rPr>
        <w:t>-2022</w:t>
      </w:r>
      <w:r w:rsidRPr="000E4276">
        <w:rPr>
          <w:rFonts w:ascii="Garamond" w:hAnsi="Garamond"/>
        </w:rPr>
        <w:t>)</w:t>
      </w:r>
    </w:p>
    <w:p w14:paraId="66E0B3D2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31AE28DF" w14:textId="4AFD5F5A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</w:t>
      </w:r>
      <w:r>
        <w:rPr>
          <w:rFonts w:ascii="Garamond" w:hAnsi="Garamond"/>
        </w:rPr>
        <w:t>2</w:t>
      </w:r>
      <w:r w:rsidRPr="000E4276">
        <w:rPr>
          <w:rFonts w:ascii="Garamond" w:hAnsi="Garamond"/>
        </w:rPr>
        <w:t>)</w:t>
      </w:r>
    </w:p>
    <w:p w14:paraId="0162CBF5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7B3FEB6A" w14:textId="1C19C884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5E3746CE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5A84E90D" w14:textId="77777777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37ED85F1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78984E88" w14:textId="71003444" w:rsidR="00FB20D9" w:rsidRPr="000E4276" w:rsidRDefault="00FB20D9" w:rsidP="00FB20D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 w:rsidR="0072345B">
        <w:rPr>
          <w:rFonts w:ascii="Garamond" w:hAnsi="Garamond"/>
        </w:rPr>
        <w:t xml:space="preserve">BSU </w:t>
      </w:r>
      <w:r>
        <w:rPr>
          <w:rFonts w:ascii="Garamond" w:hAnsi="Garamond"/>
        </w:rPr>
        <w:t>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0609C28D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2541B672" w14:textId="77777777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Thematic Program on Data Science and COVID-19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</w:p>
    <w:p w14:paraId="6500EB02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4C0485B3" w14:textId="77777777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>)</w:t>
      </w:r>
    </w:p>
    <w:p w14:paraId="6489FCD1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63532BED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81278E">
        <w:rPr>
          <w:rFonts w:ascii="Garamond" w:hAnsi="Garamond"/>
        </w:rPr>
        <w:t>5</w:t>
      </w:r>
      <w:r w:rsidR="0051157E" w:rsidRPr="000E4276">
        <w:rPr>
          <w:rFonts w:ascii="Garamond" w:hAnsi="Garamond"/>
        </w:rPr>
        <w:t>), Biological Journal of the Linnean Society (</w:t>
      </w:r>
      <w:r w:rsidR="0081278E">
        <w:rPr>
          <w:rFonts w:ascii="Garamond" w:hAnsi="Garamond"/>
        </w:rPr>
        <w:t>3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 xml:space="preserve">Functional Ecology (1), </w:t>
      </w:r>
      <w:r w:rsidR="0081278E">
        <w:rPr>
          <w:rFonts w:ascii="Garamond" w:hAnsi="Garamond"/>
        </w:rPr>
        <w:t xml:space="preserve">Integrative and Comparative Biology (1),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A66891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A66891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(2009-present)</w:t>
      </w:r>
    </w:p>
    <w:p w14:paraId="6CF9A5C5" w14:textId="77777777" w:rsidR="00D61E05" w:rsidRPr="000E4276" w:rsidRDefault="00A66891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9"/>
      <w:headerReference w:type="default" r:id="rId10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438D" w14:textId="77777777" w:rsidR="00A66891" w:rsidRDefault="00A66891" w:rsidP="00C610F3">
      <w:r>
        <w:separator/>
      </w:r>
    </w:p>
  </w:endnote>
  <w:endnote w:type="continuationSeparator" w:id="0">
    <w:p w14:paraId="4D4DD1F8" w14:textId="77777777" w:rsidR="00A66891" w:rsidRDefault="00A66891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ECEB" w14:textId="77777777" w:rsidR="00A66891" w:rsidRDefault="00A66891" w:rsidP="00C610F3">
      <w:r>
        <w:separator/>
      </w:r>
    </w:p>
  </w:footnote>
  <w:footnote w:type="continuationSeparator" w:id="0">
    <w:p w14:paraId="5F2BD452" w14:textId="77777777" w:rsidR="00A66891" w:rsidRDefault="00A66891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17162"/>
    <w:rsid w:val="00030F76"/>
    <w:rsid w:val="00031C3F"/>
    <w:rsid w:val="0003225C"/>
    <w:rsid w:val="000349DA"/>
    <w:rsid w:val="000417AC"/>
    <w:rsid w:val="00050569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B4F0E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5E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790D"/>
    <w:rsid w:val="001B063D"/>
    <w:rsid w:val="001B382F"/>
    <w:rsid w:val="001C3D8A"/>
    <w:rsid w:val="001D17C0"/>
    <w:rsid w:val="001E11C8"/>
    <w:rsid w:val="001E5001"/>
    <w:rsid w:val="001F5511"/>
    <w:rsid w:val="002142F9"/>
    <w:rsid w:val="00223095"/>
    <w:rsid w:val="00253255"/>
    <w:rsid w:val="00274231"/>
    <w:rsid w:val="00280D8C"/>
    <w:rsid w:val="00281180"/>
    <w:rsid w:val="002B351E"/>
    <w:rsid w:val="002B782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40029E"/>
    <w:rsid w:val="004008EB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0EA8"/>
    <w:rsid w:val="00593B34"/>
    <w:rsid w:val="00594688"/>
    <w:rsid w:val="005B0C47"/>
    <w:rsid w:val="005B25E3"/>
    <w:rsid w:val="005D52D4"/>
    <w:rsid w:val="005E49D0"/>
    <w:rsid w:val="005F117A"/>
    <w:rsid w:val="005F34F9"/>
    <w:rsid w:val="006006B9"/>
    <w:rsid w:val="00613C75"/>
    <w:rsid w:val="00625FDC"/>
    <w:rsid w:val="006260A0"/>
    <w:rsid w:val="00632BA9"/>
    <w:rsid w:val="00636DFE"/>
    <w:rsid w:val="006502D8"/>
    <w:rsid w:val="006550E7"/>
    <w:rsid w:val="00665D63"/>
    <w:rsid w:val="00687820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45B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619F"/>
    <w:rsid w:val="008931DC"/>
    <w:rsid w:val="008B2B27"/>
    <w:rsid w:val="008B4AB0"/>
    <w:rsid w:val="008D3288"/>
    <w:rsid w:val="008D7D8E"/>
    <w:rsid w:val="008E4C61"/>
    <w:rsid w:val="009050CE"/>
    <w:rsid w:val="00906E5D"/>
    <w:rsid w:val="0091632F"/>
    <w:rsid w:val="0091680A"/>
    <w:rsid w:val="00917436"/>
    <w:rsid w:val="00930EBE"/>
    <w:rsid w:val="009343D2"/>
    <w:rsid w:val="00934FA4"/>
    <w:rsid w:val="009800DF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38B"/>
    <w:rsid w:val="00A25AF9"/>
    <w:rsid w:val="00A323B9"/>
    <w:rsid w:val="00A4561B"/>
    <w:rsid w:val="00A66891"/>
    <w:rsid w:val="00A674E6"/>
    <w:rsid w:val="00A7488D"/>
    <w:rsid w:val="00A85725"/>
    <w:rsid w:val="00A91834"/>
    <w:rsid w:val="00A91F0E"/>
    <w:rsid w:val="00A958C5"/>
    <w:rsid w:val="00AB6006"/>
    <w:rsid w:val="00AD4B7C"/>
    <w:rsid w:val="00AE292B"/>
    <w:rsid w:val="00AE72FF"/>
    <w:rsid w:val="00AF201B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F06FB"/>
    <w:rsid w:val="00BF1C2D"/>
    <w:rsid w:val="00C137DE"/>
    <w:rsid w:val="00C16E9B"/>
    <w:rsid w:val="00C203EB"/>
    <w:rsid w:val="00C413FF"/>
    <w:rsid w:val="00C51BC2"/>
    <w:rsid w:val="00C52716"/>
    <w:rsid w:val="00C55810"/>
    <w:rsid w:val="00C610F3"/>
    <w:rsid w:val="00C6630C"/>
    <w:rsid w:val="00C7684B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CF71B7"/>
    <w:rsid w:val="00D162E9"/>
    <w:rsid w:val="00D25411"/>
    <w:rsid w:val="00D47514"/>
    <w:rsid w:val="00D52FF3"/>
    <w:rsid w:val="00D61E05"/>
    <w:rsid w:val="00D63009"/>
    <w:rsid w:val="00D67BE1"/>
    <w:rsid w:val="00D7623E"/>
    <w:rsid w:val="00D77CE7"/>
    <w:rsid w:val="00D85679"/>
    <w:rsid w:val="00D95DA7"/>
    <w:rsid w:val="00DA6E9B"/>
    <w:rsid w:val="00DC40D8"/>
    <w:rsid w:val="00DC5CA6"/>
    <w:rsid w:val="00DD333C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F10684"/>
    <w:rsid w:val="00F202C0"/>
    <w:rsid w:val="00F47F11"/>
    <w:rsid w:val="00F63E48"/>
    <w:rsid w:val="00F677F1"/>
    <w:rsid w:val="00F71F4B"/>
    <w:rsid w:val="00F75971"/>
    <w:rsid w:val="00F92F0E"/>
    <w:rsid w:val="00F94A22"/>
    <w:rsid w:val="00FA7A7C"/>
    <w:rsid w:val="00FB20D9"/>
    <w:rsid w:val="00FC3535"/>
    <w:rsid w:val="00FC5B70"/>
    <w:rsid w:val="00FE05AA"/>
    <w:rsid w:val="00FE2460"/>
    <w:rsid w:val="00FE265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4717</Words>
  <Characters>26888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31542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7</cp:revision>
  <cp:lastPrinted>2021-06-15T15:15:00Z</cp:lastPrinted>
  <dcterms:created xsi:type="dcterms:W3CDTF">2021-06-15T15:15:00Z</dcterms:created>
  <dcterms:modified xsi:type="dcterms:W3CDTF">2021-09-09T17:34:00Z</dcterms:modified>
</cp:coreProperties>
</file>