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0"/>
          <w:szCs w:val="30"/>
        </w:rPr>
        <w:t xml:space="preserve">VÅR – fem nye intimprodukter for kvinner</w:t>
      </w:r>
    </w:p>
    <w:p>
      <w:pPr>
        <w:pBdr>
          <w:bottom w:val="single" w:color="2A78D6" w:sz="8" w:space="4"/>
        </w:pBdr>
        <w:spacing w:after="120"/>
      </w:pPr>
      <w:r>
        <w:rPr>
          <w:color w:val="52514E"/>
          <w:sz w:val="17"/>
          <w:szCs w:val="17"/>
        </w:rPr>
        <w:t xml:space="preserve">Ensidig sammendrag og anbefaling · 6. oktober 2026 · Konfidensielt</w:t>
      </w:r>
    </w:p>
    <w:p>
      <w:pPr>
        <w:spacing w:after="70"/>
      </w:pPr>
      <w:r>
        <w:rPr>
          <w:b/>
          <w:bCs/>
          <w:sz w:val="17"/>
          <w:szCs w:val="17"/>
        </w:rPr>
        <w:t xml:space="preserve">Situasjon:</w:t>
      </w:r>
      <w:r>
        <w:rPr>
          <w:sz w:val="17"/>
          <w:szCs w:val="17"/>
        </w:rPr>
        <w:t xml:space="preserve"> markedet (35–45 mrd. USD, +7–9 % i året) er dominert av lufttrykk- og vibrasjonsvarianter. De største plagene er uløste: nummenhet, passform, bærbare som faller av, utilgjengelig betjening, korte levetider og svakt personvern. Vi foreslår fem nye produktprinsipper som ikke er kopier av eksisterende leketøy.</w:t>
      </w:r>
    </w:p>
    <w:tbl>
      <w:tblPr>
        <w:tblW w:type="dxa" w:w="10106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212"/>
        <w:gridCol w:w="2627"/>
        <w:gridCol w:w="909"/>
        <w:gridCol w:w="808"/>
        <w:gridCol w:w="808"/>
        <w:gridCol w:w="808"/>
        <w:gridCol w:w="1010"/>
        <w:gridCol w:w="1010"/>
        <w:gridCol w:w="914"/>
      </w:tblGrid>
      <w:tr>
        <w:trPr>
          <w:tblHeader/>
        </w:trPr>
        <w:tc>
          <w:tcPr>
            <w:tcW w:type="dxa" w:w="1212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Produkt</w:t>
            </w:r>
          </w:p>
        </w:tc>
        <w:tc>
          <w:tcPr>
            <w:tcW w:type="dxa" w:w="2627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Nytt prinsipp</w:t>
            </w:r>
          </w:p>
        </w:tc>
        <w:tc>
          <w:tcPr>
            <w:tcW w:type="dxa" w:w="909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Pris</w:t>
            </w:r>
          </w:p>
        </w:tc>
        <w:tc>
          <w:tcPr>
            <w:tcW w:type="dxa" w:w="80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COGS 10k</w:t>
            </w:r>
          </w:p>
        </w:tc>
        <w:tc>
          <w:tcPr>
            <w:tcW w:type="dxa" w:w="80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BM D2C</w:t>
            </w:r>
          </w:p>
        </w:tc>
        <w:tc>
          <w:tcPr>
            <w:tcW w:type="dxa" w:w="80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Invest.</w:t>
            </w:r>
          </w:p>
        </w:tc>
        <w:tc>
          <w:tcPr>
            <w:tcW w:type="dxa" w:w="101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Break-even</w:t>
            </w:r>
          </w:p>
        </w:tc>
        <w:tc>
          <w:tcPr>
            <w:tcW w:type="dxa" w:w="101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Lansering</w:t>
            </w:r>
          </w:p>
        </w:tc>
        <w:tc>
          <w:tcPr>
            <w:tcW w:type="dxa" w:w="914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Teknisk risiko</w:t>
            </w:r>
          </w:p>
        </w:tc>
      </w:tr>
      <w:tr>
        <w:tc>
          <w:tcPr>
            <w:tcW w:type="dxa" w:w="1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GLØD</w:t>
            </w:r>
          </w:p>
        </w:tc>
        <w:tc>
          <w:tcPr>
            <w:tcW w:type="dxa" w:w="2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Varme og rullende trykkbølge, ingen vibrasjon</w:t>
            </w:r>
          </w:p>
        </w:tc>
        <w:tc>
          <w:tcPr>
            <w:tcW w:type="dxa" w:w="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2 990 kr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315 kr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86,8 %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3,6 M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2 277 stk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15 mnd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Middels</w:t>
            </w:r>
          </w:p>
        </w:tc>
      </w:tr>
      <w:tr>
        <w:tc>
          <w:tcPr>
            <w:tcW w:type="dxa" w:w="1212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AVTRYKK</w:t>
            </w:r>
          </w:p>
        </w:tc>
        <w:tc>
          <w:tcPr>
            <w:tcW w:type="dxa" w:w="2627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Formes etter kroppen og låses med vakuum</w:t>
            </w:r>
          </w:p>
        </w:tc>
        <w:tc>
          <w:tcPr>
            <w:tcW w:type="dxa" w:w="909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2 690 kr</w:t>
            </w:r>
          </w:p>
        </w:tc>
        <w:tc>
          <w:tcPr>
            <w:tcW w:type="dxa" w:w="808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387 kr</w:t>
            </w:r>
          </w:p>
        </w:tc>
        <w:tc>
          <w:tcPr>
            <w:tcW w:type="dxa" w:w="808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82 %</w:t>
            </w:r>
          </w:p>
        </w:tc>
        <w:tc>
          <w:tcPr>
            <w:tcW w:type="dxa" w:w="808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3,9 M</w:t>
            </w:r>
          </w:p>
        </w:tc>
        <w:tc>
          <w:tcPr>
            <w:tcW w:type="dxa" w:w="101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2 963 stk</w:t>
            </w:r>
          </w:p>
        </w:tc>
        <w:tc>
          <w:tcPr>
            <w:tcW w:type="dxa" w:w="101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18 mnd</w:t>
            </w:r>
          </w:p>
        </w:tc>
        <w:tc>
          <w:tcPr>
            <w:tcW w:type="dxa" w:w="914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Høy</w:t>
            </w:r>
          </w:p>
        </w:tc>
      </w:tr>
      <w:tr>
        <w:tc>
          <w:tcPr>
            <w:tcW w:type="dxa" w:w="1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SAMKLANG</w:t>
            </w:r>
          </w:p>
        </w:tc>
        <w:tc>
          <w:tcPr>
            <w:tcW w:type="dxa" w:w="2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Mikro-sugefeste og stimulering som følger partneren</w:t>
            </w:r>
          </w:p>
        </w:tc>
        <w:tc>
          <w:tcPr>
            <w:tcW w:type="dxa" w:w="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1 890 kr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332 kr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78 %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3,6 M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4 236 stk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17 mnd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Høy</w:t>
            </w:r>
          </w:p>
        </w:tc>
      </w:tr>
      <w:tr>
        <w:tc>
          <w:tcPr>
            <w:tcW w:type="dxa" w:w="1212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LENE</w:t>
            </w:r>
          </w:p>
        </w:tc>
        <w:tc>
          <w:tcPr>
            <w:tcW w:type="dxa" w:w="2627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Grepsfri kilepute, kroppstrykk styrer</w:t>
            </w:r>
          </w:p>
        </w:tc>
        <w:tc>
          <w:tcPr>
            <w:tcW w:type="dxa" w:w="909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1 990 kr</w:t>
            </w:r>
          </w:p>
        </w:tc>
        <w:tc>
          <w:tcPr>
            <w:tcW w:type="dxa" w:w="808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605 kr</w:t>
            </w:r>
          </w:p>
        </w:tc>
        <w:tc>
          <w:tcPr>
            <w:tcW w:type="dxa" w:w="808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808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2,6 M</w:t>
            </w:r>
          </w:p>
        </w:tc>
        <w:tc>
          <w:tcPr>
            <w:tcW w:type="dxa" w:w="101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4 468 stk</w:t>
            </w:r>
          </w:p>
        </w:tc>
        <w:tc>
          <w:tcPr>
            <w:tcW w:type="dxa" w:w="101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12 mnd</w:t>
            </w:r>
          </w:p>
        </w:tc>
        <w:tc>
          <w:tcPr>
            <w:tcW w:type="dxa" w:w="914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Lav</w:t>
            </w:r>
          </w:p>
        </w:tc>
      </w:tr>
      <w:tr>
        <w:tc>
          <w:tcPr>
            <w:tcW w:type="dxa" w:w="1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KJERNE</w:t>
            </w:r>
          </w:p>
        </w:tc>
        <w:tc>
          <w:tcPr>
            <w:tcW w:type="dxa" w:w="2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Reparerbar kjerne + skall som kan kokes</w:t>
            </w:r>
          </w:p>
        </w:tc>
        <w:tc>
          <w:tcPr>
            <w:tcW w:type="dxa" w:w="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990 kr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217 kr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72,6 %</w:t>
            </w:r>
          </w:p>
        </w:tc>
        <w:tc>
          <w:tcPr>
            <w:tcW w:type="dxa" w:w="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3,3 M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6 132 stk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12 mnd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Lav–middels</w:t>
            </w:r>
          </w:p>
        </w:tc>
      </w:tr>
    </w:tbl>
    <w:p>
      <w:pPr>
        <w:spacing w:after="120" w:before="60"/>
      </w:pPr>
      <w:r>
        <w:rPr>
          <w:color w:val="52514E"/>
          <w:sz w:val="14"/>
          <w:szCs w:val="14"/>
        </w:rPr>
        <w:t xml:space="preserve">Investering = utvikling, verktøy, sertifisering, IP og lanseringsmarkedsføring år 1. BM = bruttomargin på netto pris. Break-even på blandet DB (70 % D2C / 30 % engros).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Anbefaling: prioriter GLØD og KJERNE</w:t>
      </w:r>
    </w:p>
    <w:p>
      <w:pPr>
        <w:spacing w:after="70"/>
      </w:pPr>
      <w:r>
        <w:rPr>
          <w:b/>
          <w:bCs/>
          <w:sz w:val="17"/>
          <w:szCs w:val="17"/>
        </w:rPr>
        <w:t xml:space="preserve">1. GLØD (premium, 2 990 kr):</w:t>
      </w:r>
      <w:r>
        <w:rPr>
          <w:sz w:val="17"/>
          <w:szCs w:val="17"/>
        </w:rPr>
        <w:t xml:space="preserve"> størst udekket behov (overgangsalder, smerte, nummenhet), høyest dekningsbidrag (1 890 kr per enhet D2C), break-even ved cirka 2 277 enheter, og tilgang til kanaler som ikke rammes av annonsebegrensningene (apotek, helsepersonell, medieomtale). Patentkandidat. MVP i uke 16, lansering i måned 15.</w:t>
      </w:r>
    </w:p>
    <w:p>
      <w:pPr>
        <w:spacing w:after="70"/>
      </w:pPr>
      <w:r>
        <w:rPr>
          <w:b/>
          <w:bCs/>
          <w:sz w:val="17"/>
          <w:szCs w:val="17"/>
        </w:rPr>
        <w:t xml:space="preserve">2. KJERNE (inngang, 990 kr):</w:t>
      </w:r>
      <w:r>
        <w:rPr>
          <w:sz w:val="17"/>
          <w:szCs w:val="17"/>
        </w:rPr>
        <w:t xml:space="preserve"> lavest teknisk risiko og raskest til marked (MVP i uke 12, lansering i måned 12). Gjentakende inntekt fra skall, svar på EUs krav om utskiftbare batterier og </w:t>
      </w:r>
      <w:r>
        <w:rPr>
          <w:b/>
          <w:bCs/>
          <w:sz w:val="17"/>
          <w:szCs w:val="17"/>
        </w:rPr>
        <w:t xml:space="preserve">plattform</w:t>
      </w:r>
      <w:r>
        <w:rPr>
          <w:sz w:val="17"/>
          <w:szCs w:val="17"/>
        </w:rPr>
        <w:t xml:space="preserve"> for LENE og senere varianter.</w:t>
      </w:r>
    </w:p>
    <w:p>
      <w:pPr>
        <w:spacing w:after="70"/>
      </w:pPr>
      <w:r>
        <w:rPr>
          <w:b/>
          <w:bCs/>
          <w:sz w:val="17"/>
          <w:szCs w:val="17"/>
        </w:rPr>
        <w:t xml:space="preserve">Parallelt (lav kostnad):</w:t>
      </w:r>
      <w:r>
        <w:rPr>
          <w:sz w:val="17"/>
          <w:szCs w:val="17"/>
        </w:rPr>
        <w:t xml:space="preserve"> AVTRYKK fase 0-mulighetsstudie for jamming (6 uker, 150k kr) på grunn av høy IP-verdi. SAMKLANG-teksturspor med go/no-go i uke 10. LENE bygges på KJERNE-plattformen med partnere og tilskudd.</w:t>
      </w:r>
    </w:p>
    <w:p>
      <w:pPr>
        <w:spacing w:after="60" w:before="100"/>
      </w:pPr>
      <w:r>
        <w:rPr>
          <w:b/>
          <w:bCs/>
          <w:color w:val="1F3A5F"/>
          <w:sz w:val="20"/>
          <w:szCs w:val="20"/>
        </w:rPr>
        <w:t xml:space="preserve">Økonomi (sannsynlig scenario, 3 år)</w:t>
      </w:r>
    </w:p>
    <w:tbl>
      <w:tblPr>
        <w:tblW w:type="dxa" w:w="10106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436"/>
        <w:gridCol w:w="2223"/>
        <w:gridCol w:w="2223"/>
        <w:gridCol w:w="2224"/>
      </w:tblGrid>
      <w:tr>
        <w:trPr>
          <w:tblHeader/>
        </w:trPr>
        <w:tc>
          <w:tcPr>
            <w:tcW w:type="dxa" w:w="3436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23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GLØD</w:t>
            </w:r>
          </w:p>
        </w:tc>
        <w:tc>
          <w:tcPr>
            <w:tcW w:type="dxa" w:w="2223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KJERNE</w:t>
            </w:r>
          </w:p>
        </w:tc>
        <w:tc>
          <w:tcPr>
            <w:tcW w:type="dxa" w:w="2224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Sum prioritert</w:t>
            </w:r>
          </w:p>
        </w:tc>
      </w:tr>
      <w:tr>
        <w:tc>
          <w:tcPr>
            <w:tcW w:type="dxa" w:w="34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Enheter år 1 / 2 / 3</w:t>
            </w:r>
          </w:p>
        </w:tc>
        <w:tc>
          <w:tcPr>
            <w:tcW w:type="dxa" w:w="22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3 000 / 8 000 / 15 000</w:t>
            </w:r>
          </w:p>
        </w:tc>
        <w:tc>
          <w:tcPr>
            <w:tcW w:type="dxa" w:w="22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5 000 / 12 000 / 22 000</w:t>
            </w:r>
          </w:p>
        </w:tc>
        <w:tc>
          <w:tcPr>
            <w:tcW w:type="dxa" w:w="22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</w:p>
        </w:tc>
      </w:tr>
      <w:tr>
        <w:tc>
          <w:tcPr>
            <w:tcW w:type="dxa" w:w="3436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Netto omsetning 3 år</w:t>
            </w:r>
          </w:p>
        </w:tc>
        <w:tc>
          <w:tcPr>
            <w:tcW w:type="dxa" w:w="2223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49,2 MNOK</w:t>
            </w:r>
          </w:p>
        </w:tc>
        <w:tc>
          <w:tcPr>
            <w:tcW w:type="dxa" w:w="2223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32,5 MNOK</w:t>
            </w:r>
          </w:p>
        </w:tc>
        <w:tc>
          <w:tcPr>
            <w:tcW w:type="dxa" w:w="2224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81,7 MNOK</w:t>
            </w:r>
          </w:p>
        </w:tc>
      </w:tr>
      <w:tr>
        <w:tc>
          <w:tcPr>
            <w:tcW w:type="dxa" w:w="34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Investering inkl. lansering</w:t>
            </w:r>
          </w:p>
        </w:tc>
        <w:tc>
          <w:tcPr>
            <w:tcW w:type="dxa" w:w="22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3,6 MNOK</w:t>
            </w:r>
          </w:p>
        </w:tc>
        <w:tc>
          <w:tcPr>
            <w:tcW w:type="dxa" w:w="22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3,3 MNOK</w:t>
            </w:r>
          </w:p>
        </w:tc>
        <w:tc>
          <w:tcPr>
            <w:tcW w:type="dxa" w:w="22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6,9 MNOK</w:t>
            </w:r>
          </w:p>
        </w:tc>
      </w:tr>
      <w:tr>
        <w:tc>
          <w:tcPr>
            <w:tcW w:type="dxa" w:w="3436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Akk. resultat etter år 3*</w:t>
            </w:r>
          </w:p>
        </w:tc>
        <w:tc>
          <w:tcPr>
            <w:tcW w:type="dxa" w:w="2223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25,9 MNOK</w:t>
            </w:r>
          </w:p>
        </w:tc>
        <w:tc>
          <w:tcPr>
            <w:tcW w:type="dxa" w:w="2223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11,4 MNOK</w:t>
            </w:r>
          </w:p>
        </w:tc>
        <w:tc>
          <w:tcPr>
            <w:tcW w:type="dxa" w:w="2224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37,3 MNOK</w:t>
            </w:r>
          </w:p>
        </w:tc>
      </w:tr>
    </w:tbl>
    <w:p>
      <w:pPr>
        <w:spacing w:after="100" w:before="40"/>
      </w:pPr>
      <w:r>
        <w:rPr>
          <w:color w:val="52514E"/>
          <w:sz w:val="14"/>
          <w:szCs w:val="14"/>
        </w:rPr>
        <w:t xml:space="preserve">*DB minus markedsføring og investering, før lønn til grunnleggerteam og felles kostnader. SkatteFUNN (19 %) og Innovasjon Norge kan redusere egenkapitalbehovet.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Neste 90 dager (1,37 MNOK)</w:t>
      </w:r>
    </w:p>
    <w:p>
      <w:pPr>
        <w:spacing w:after="70"/>
      </w:pPr>
      <w:r>
        <w:rPr>
          <w:sz w:val="17"/>
          <w:szCs w:val="17"/>
        </w:rPr>
        <w:t xml:space="preserve">Analyse av anmeldelser og intervjuer → FTO og norske prioritetssøknader (GLØD, KJERNE) → CAD og simulering → funksjonelle α-prototyper (uke 12) → AVTRYKK fase 0 → søknader om SkatteFUNN og Innovasjon Norge → rekruttering til brukertest runde 1.</w:t>
      </w:r>
    </w:p>
    <w:p>
      <w:pPr>
        <w:spacing w:after="70"/>
      </w:pPr>
      <w:r>
        <w:rPr>
          <w:b/>
          <w:bCs/>
          <w:sz w:val="17"/>
          <w:szCs w:val="17"/>
        </w:rPr>
        <w:t xml:space="preserve">Beslutning som trengs:</w:t>
      </w:r>
      <w:r>
        <w:rPr>
          <w:sz w:val="17"/>
          <w:szCs w:val="17"/>
        </w:rPr>
        <w:t xml:space="preserve"> godkjenne prioritering, 90-dagersbudsjett og engasjement av patentkontor og regulatorisk rådgiver før noe vises eksternt.</w:t>
      </w:r>
    </w:p>
    <w:sectPr>
      <w:pgSz w:w="11906" w:h="16838" w:orient="portrait"/>
      <w:pgMar w:top="85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78D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VÅR – Sammendrag</dc:title>
  <dc:creator>VÅR produktteam</dc:creator>
  <cp:lastModifiedBy>Un-named</cp:lastModifiedBy>
  <cp:revision>1</cp:revision>
  <dcterms:created xsi:type="dcterms:W3CDTF">2026-10-06T03:31:59.494Z</dcterms:created>
  <dcterms:modified xsi:type="dcterms:W3CDTF">2026-10-06T03:31:59.494Z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