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b/>
          <w:i w:val="false"/>
          <w:color w:val="1F3864"/>
          <w:sz w:val="34"/>
        </w:rPr>
        <w:t>Predicting Atrial Fibrillation Risk from AF-Free ECG Recordings</w:t>
      </w:r>
    </w:p>
    <w:p>
      <w:pPr>
        <w:pStyle w:val="Normal"/>
        <w:spacing w:before="0" w:after="60"/>
        <w:rPr/>
      </w:pPr>
      <w:r>
        <w:rPr>
          <w:b w:val="false"/>
          <w:i/>
          <w:color w:val="1F4E79"/>
          <w:sz w:val="22"/>
        </w:rPr>
        <w:t>An open, end-to-end deep learning pipeline  ·  Project summary</w:t>
      </w:r>
    </w:p>
    <w:p>
      <w:pPr>
        <w:pStyle w:val="Normal"/>
        <w:spacing w:before="0" w:after="20"/>
        <w:rPr/>
      </w:pPr>
      <w:r>
        <w:rPr>
          <w:b w:val="false"/>
          <w:i w:val="false"/>
          <w:color w:val="595959"/>
          <w:sz w:val="18"/>
        </w:rPr>
        <w:t>Fotios Marios Magoulas  ·  Master Thesis in Applied Data Science (30 credits), Malmö University  ·  Spring 2026</w:t>
      </w:r>
    </w:p>
    <w:p>
      <w:pPr>
        <w:pStyle w:val="Normal"/>
        <w:pBdr>
          <w:bottom w:val="single" w:sz="10" w:space="4" w:color="2E75B6"/>
        </w:pBdr>
        <w:spacing w:before="0" w:after="40"/>
        <w:rPr/>
      </w:pPr>
      <w:r>
        <w:rPr>
          <w:b w:val="false"/>
          <w:i w:val="false"/>
          <w:color w:val="595959"/>
          <w:sz w:val="18"/>
        </w:rPr>
        <w:t xml:space="preserve">Supervisor: Sara Caramaschi   ·   Full thesis (DiVA): </w:t>
      </w:r>
      <w:hyperlink r:id="rId2">
        <w:r>
          <w:rPr>
            <w:rStyle w:val="Style"/>
            <w:color w:val="1F4E79"/>
            <w:sz w:val="18"/>
            <w:u w:val="single"/>
          </w:rPr>
          <w:t>urn.kb.se/resolve?urn=urn:nbn:se:mau:diva-88253</w:t>
        </w:r>
      </w:hyperlink>
      <w:r>
        <w:rPr>
          <w:b w:val="false"/>
          <w:i w:val="false"/>
          <w:color w:val="595959"/>
          <w:sz w:val="18"/>
        </w:rPr>
        <w:t xml:space="preserve">   ·   Code: </w:t>
      </w:r>
      <w:hyperlink r:id="rId3">
        <w:r>
          <w:rPr>
            <w:rStyle w:val="Style"/>
            <w:color w:val="1F4E79"/>
            <w:sz w:val="18"/>
            <w:u w:val="single"/>
          </w:rPr>
          <w:t>GitHub repository</w:t>
        </w:r>
      </w:hyperlink>
    </w:p>
    <w:p>
      <w:pPr>
        <w:pStyle w:val="Heading1"/>
        <w:rPr/>
      </w:pPr>
      <w:r>
        <w:rPr/>
        <w:t>The problem</w:t>
      </w:r>
    </w:p>
    <w:p>
      <w:pPr>
        <w:pStyle w:val="Normal"/>
        <w:rPr/>
      </w:pPr>
      <w:r>
        <w:rPr>
          <w:b w:val="false"/>
          <w:i w:val="false"/>
        </w:rPr>
        <w:t>Atrial fibrillation (AF) is the most common sustained heart-rhythm disorder in adults. It affects about 37.5 million people worldwide and raises the risk of ischaemic stroke about fivefold. Paroxysmal AF comes and goes, so a patient can have a normal ECG at a routine check-up while the condition develops unnoticed. Today, AF can only be diagnosed from an ECG recorded during an episode.</w:t>
      </w:r>
    </w:p>
    <w:p>
      <w:pPr>
        <w:pStyle w:val="Normal"/>
        <w:rPr/>
      </w:pPr>
      <w:r>
        <w:rPr>
          <w:b w:val="false"/>
          <w:i w:val="false"/>
        </w:rPr>
        <w:t xml:space="preserve">This project asks a harder question: can a deep learning model identify patients at risk of AF from an ECG in which no AF is visible, an </w:t>
      </w:r>
      <w:r>
        <w:rPr>
          <w:b/>
          <w:i w:val="false"/>
        </w:rPr>
        <w:t>AF-free ECG</w:t>
      </w:r>
      <w:r>
        <w:rPr>
          <w:b w:val="false"/>
          <w:i w:val="false"/>
        </w:rPr>
        <w:t>? Large studies on hundreds of thousands of patients suggest that it can, but they rely on private hospital data and code that has not been released. This thesis builds the same kind of tool in the open, on public data, and releases the complete pipeline so that anyone can inspect, reproduce and retrain it.</w:t>
      </w:r>
    </w:p>
    <w:p>
      <w:pPr>
        <w:pStyle w:val="Heading1"/>
        <w:rPr/>
      </w:pPr>
      <w:r>
        <w:rPr/>
        <w:t>Data</w:t>
      </w:r>
    </w:p>
    <w:p>
      <w:pPr>
        <w:pStyle w:val="Normal"/>
        <w:rPr/>
      </w:pPr>
      <w:r>
        <w:rPr>
          <w:b w:val="false"/>
          <w:i w:val="false"/>
        </w:rPr>
        <w:t xml:space="preserve">The pipeline uses the public </w:t>
      </w:r>
      <w:r>
        <w:rPr>
          <w:b/>
          <w:i w:val="false"/>
        </w:rPr>
        <w:t>SHDB-AF</w:t>
      </w:r>
      <w:r>
        <w:rPr>
          <w:b w:val="false"/>
          <w:i w:val="false"/>
        </w:rPr>
        <w:t xml:space="preserve"> database on PhysioNet: 128 Holter recordings of about 24 hours each from 122 patients at Saitama Medical University International Medical Center, Japan, filtered and resampled to 200 Hz by the dataset authors. After filtering, the study cohort contains </w:t>
      </w:r>
      <w:r>
        <w:rPr>
          <w:b/>
          <w:i w:val="false"/>
        </w:rPr>
        <w:t>40 patients</w:t>
      </w:r>
      <w:r>
        <w:rPr>
          <w:b w:val="false"/>
          <w:i w:val="false"/>
        </w:rPr>
        <w:t>: 20 with paroxysmal AF (labelled AF Risk) and 20 without AF (labelled No AF Risk). Each patient contributes 1,216 AF-free windows of 60 seconds from a single lead (modified CC5), giving 48,640 windows, exactly balanced between the two classes.</w:t>
      </w:r>
    </w:p>
    <w:p>
      <w:pPr>
        <w:pStyle w:val="Heading1"/>
        <w:rPr/>
      </w:pPr>
      <w:r>
        <w:rPr/>
        <w:t>The pipeline</w:t>
      </w:r>
    </w:p>
    <w:tbl>
      <w:tblPr>
        <w:tblW w:w="9752" w:type="dxa"/>
        <w:jc w:val="center"/>
        <w:tblInd w:w="0" w:type="dxa"/>
        <w:tblLayout w:type="fixed"/>
        <w:tblCellMar>
          <w:top w:w="40" w:type="dxa"/>
          <w:start w:w="90" w:type="dxa"/>
          <w:bottom w:w="40" w:type="dxa"/>
          <w:end w:w="90" w:type="dxa"/>
        </w:tblCellMar>
        <w:tblLook w:val="04a0" w:firstRow="1" w:noVBand="1" w:lastRow="0" w:firstColumn="1" w:lastColumn="0" w:noHBand="0"/>
      </w:tblPr>
      <w:tblGrid>
        <w:gridCol w:w="1473"/>
        <w:gridCol w:w="8279"/>
      </w:tblGrid>
      <w:tr>
        <w:trPr>
          <w:tblHeader w:val="true"/>
          <w:cantSplit/>
        </w:trPr>
        <w:tc>
          <w:tcPr>
            <w:tcW w:w="1473"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Stage</w:t>
            </w:r>
          </w:p>
        </w:tc>
        <w:tc>
          <w:tcPr>
            <w:tcW w:w="8279"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What it does</w:t>
            </w:r>
          </w:p>
        </w:tc>
      </w:tr>
      <w:tr>
        <w:trPr>
          <w:cantSplit/>
        </w:trPr>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i w:val="false"/>
                <w:color w:val="1F3864"/>
                <w:sz w:val="18"/>
              </w:rPr>
              <w:t>Script 1</w:t>
              <w:br/>
              <w:t>Preprocessing</w:t>
            </w:r>
          </w:p>
        </w:tc>
        <w:tc>
          <w:tcPr>
            <w:tcW w:w="827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Excludes persistent AF and unannotated recordings. Reads the rhythm annotations and keeps only sinus-rhythm regions, removing 5 minutes at the start and end of every recording and 5 minutes before and after every AF or atrial-flutter episode, so the model never sees AF or its immediate onset. Slices the regions into 60-second windows and assembles the balanced cohort. Works on annotation timestamps only; no signal is loaded.</w:t>
            </w:r>
          </w:p>
        </w:tc>
      </w:tr>
      <w:tr>
        <w:trPr>
          <w:cantSplit/>
        </w:trPr>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i w:val="false"/>
                <w:color w:val="1F3864"/>
                <w:sz w:val="18"/>
              </w:rPr>
              <w:t>Script 2</w:t>
              <w:br/>
              <w:t>Training</w:t>
            </w:r>
          </w:p>
        </w:tc>
        <w:tc>
          <w:tcPr>
            <w:tcW w:w="827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Loads the ECG signal of every window, clips extreme amplitudes per patient and normalises each window. Trains the model with five-fold cross-validation split by patient, holding out 6 patients per fold for early stopping, and saves one model per fold.</w:t>
            </w:r>
          </w:p>
        </w:tc>
      </w:tr>
      <w:tr>
        <w:trPr>
          <w:cantSplit/>
        </w:trPr>
        <w:tc>
          <w:tcPr>
            <w:tcW w:w="1473"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i w:val="false"/>
                <w:color w:val="1F3864"/>
                <w:sz w:val="18"/>
              </w:rPr>
              <w:t>Script 3</w:t>
              <w:br/>
              <w:t>Evaluation</w:t>
            </w:r>
          </w:p>
        </w:tc>
        <w:tc>
          <w:tcPr>
            <w:tcW w:w="827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Reloads the saved models and recomputes every reported number from fresh inference: window- and patient-level metrics, confidence intervals and the robustness diagnostics.</w:t>
            </w:r>
          </w:p>
        </w:tc>
      </w:tr>
    </w:tbl>
    <w:p>
      <w:pPr>
        <w:pStyle w:val="Normal"/>
        <w:spacing w:lineRule="exact" w:line="80" w:before="0" w:after="0"/>
        <w:rPr/>
      </w:pPr>
      <w:r>
        <w:rPr/>
      </w:r>
    </w:p>
    <w:p>
      <w:pPr>
        <w:pStyle w:val="Normal"/>
        <w:rPr/>
      </w:pPr>
      <w:r>
        <w:rPr>
          <w:b/>
          <w:i w:val="false"/>
        </w:rPr>
        <w:t xml:space="preserve">Model: </w:t>
      </w:r>
      <w:r>
        <w:rPr>
          <w:b w:val="false"/>
          <w:i w:val="false"/>
        </w:rPr>
        <w:t>a residual 1D convolutional neural network with dilated convolutions, Squeeze-and-Excitation blocks and a learned temporal-attention layer (about 490,000 parameters), reading 60 seconds of single-lead ECG (12,000 samples). Patients are never split between training and test data; the code checks this before every fold.</w:t>
      </w:r>
    </w:p>
    <w:p>
      <w:pPr>
        <w:pStyle w:val="Heading1"/>
        <w:rPr/>
      </w:pPr>
      <w:r>
        <w:rPr/>
        <w:t>An evaluation built to catch false success</w:t>
      </w:r>
    </w:p>
    <w:p>
      <w:pPr>
        <w:pStyle w:val="Normal"/>
        <w:spacing w:before="0" w:after="40"/>
        <w:rPr/>
      </w:pPr>
      <w:r>
        <w:rPr>
          <w:b w:val="false"/>
          <w:i w:val="false"/>
        </w:rPr>
        <w:t>With only 40 patients, a respectable score could come from the model recognising individual patients rather than disease. To test for this, every diagnostic and its pass/fail threshold was fixed before any result was seen:</w:t>
      </w:r>
    </w:p>
    <w:p>
      <w:pPr>
        <w:pStyle w:val="ListBullet"/>
        <w:numPr>
          <w:ilvl w:val="0"/>
          <w:numId w:val="1"/>
        </w:numPr>
        <w:rPr/>
      </w:pPr>
      <w:r>
        <w:rPr>
          <w:b/>
          <w:i w:val="false"/>
        </w:rPr>
        <w:t xml:space="preserve">Patient-identity test: </w:t>
      </w:r>
      <w:r>
        <w:rPr>
          <w:b w:val="false"/>
          <w:i w:val="false"/>
        </w:rPr>
        <w:t>do the model's internal representations cluster by patient rather than by class?</w:t>
      </w:r>
    </w:p>
    <w:p>
      <w:pPr>
        <w:pStyle w:val="ListBullet"/>
        <w:numPr>
          <w:ilvl w:val="0"/>
          <w:numId w:val="1"/>
        </w:numPr>
        <w:rPr/>
      </w:pPr>
      <w:r>
        <w:rPr>
          <w:b/>
          <w:i w:val="false"/>
        </w:rPr>
        <w:t xml:space="preserve">Temporal permutation test: </w:t>
      </w:r>
      <w:r>
        <w:rPr>
          <w:b w:val="false"/>
          <w:i w:val="false"/>
        </w:rPr>
        <w:t>does performance collapse when the waveform shape is destroyed?</w:t>
      </w:r>
    </w:p>
    <w:p>
      <w:pPr>
        <w:pStyle w:val="ListBullet"/>
        <w:numPr>
          <w:ilvl w:val="0"/>
          <w:numId w:val="1"/>
        </w:numPr>
        <w:rPr/>
      </w:pPr>
      <w:r>
        <w:rPr>
          <w:b/>
          <w:i w:val="false"/>
        </w:rPr>
        <w:t xml:space="preserve">Attribution analysis: </w:t>
      </w:r>
      <w:r>
        <w:rPr>
          <w:b w:val="false"/>
          <w:i w:val="false"/>
        </w:rPr>
        <w:t>how much of the model's attribution falls on the P-wave region, where AF-related changes in the atria are expected?</w:t>
      </w:r>
    </w:p>
    <w:p>
      <w:pPr>
        <w:pStyle w:val="ListBullet"/>
        <w:numPr>
          <w:ilvl w:val="0"/>
          <w:numId w:val="1"/>
        </w:numPr>
        <w:rPr/>
      </w:pPr>
      <w:r>
        <w:rPr>
          <w:b/>
          <w:i w:val="false"/>
        </w:rPr>
        <w:t xml:space="preserve">Calibration and decision curve analysis: </w:t>
      </w:r>
      <w:r>
        <w:rPr>
          <w:b w:val="false"/>
          <w:i w:val="false"/>
        </w:rPr>
        <w:t>are the predicted probabilities usable for a referral decision?</w:t>
      </w:r>
    </w:p>
    <w:p>
      <w:pPr>
        <w:pStyle w:val="ListBullet"/>
        <w:numPr>
          <w:ilvl w:val="0"/>
          <w:numId w:val="1"/>
        </w:numPr>
        <w:rPr/>
      </w:pPr>
      <w:r>
        <w:rPr>
          <w:b/>
          <w:i w:val="false"/>
        </w:rPr>
        <w:t xml:space="preserve">Patient-level confidence intervals, </w:t>
      </w:r>
      <w:r>
        <w:rPr>
          <w:b w:val="false"/>
          <w:i w:val="false"/>
        </w:rPr>
        <w:t>because windows from the same patient are strongly correlated.</w:t>
      </w:r>
    </w:p>
    <w:p>
      <w:pPr>
        <w:pStyle w:val="Heading1"/>
        <w:rPr/>
      </w:pPr>
      <w:r>
        <w:rPr/>
        <w:t>Results</w:t>
      </w:r>
    </w:p>
    <w:tbl>
      <w:tblPr>
        <w:tblW w:w="9751" w:type="dxa"/>
        <w:jc w:val="center"/>
        <w:tblInd w:w="0" w:type="dxa"/>
        <w:tblLayout w:type="fixed"/>
        <w:tblCellMar>
          <w:top w:w="40" w:type="dxa"/>
          <w:start w:w="90" w:type="dxa"/>
          <w:bottom w:w="40" w:type="dxa"/>
          <w:end w:w="90" w:type="dxa"/>
        </w:tblCellMar>
        <w:tblLook w:val="04a0" w:firstRow="1" w:noVBand="1" w:lastRow="0" w:firstColumn="1" w:lastColumn="0" w:noHBand="0"/>
      </w:tblPr>
      <w:tblGrid>
        <w:gridCol w:w="4649"/>
        <w:gridCol w:w="1473"/>
        <w:gridCol w:w="3629"/>
      </w:tblGrid>
      <w:tr>
        <w:trPr>
          <w:tblHeader w:val="true"/>
          <w:cantSplit/>
        </w:trPr>
        <w:tc>
          <w:tcPr>
            <w:tcW w:w="4649"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Metric (patient level, 40 patients)</w:t>
            </w:r>
          </w:p>
        </w:tc>
        <w:tc>
          <w:tcPr>
            <w:tcW w:w="1473"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Estimate</w:t>
            </w:r>
          </w:p>
        </w:tc>
        <w:tc>
          <w:tcPr>
            <w:tcW w:w="3629"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95% confidence interval</w:t>
            </w:r>
          </w:p>
        </w:tc>
      </w:tr>
      <w:tr>
        <w:trPr>
          <w:cantSplit/>
        </w:trPr>
        <w:tc>
          <w:tcPr>
            <w:tcW w:w="464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AUC-ROC</w:t>
            </w:r>
          </w:p>
        </w:tc>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0.675</w:t>
            </w:r>
          </w:p>
        </w:tc>
        <w:tc>
          <w:tcPr>
            <w:tcW w:w="362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0.484 – 0.821 (DeLong)</w:t>
            </w:r>
          </w:p>
        </w:tc>
      </w:tr>
      <w:tr>
        <w:trPr>
          <w:cantSplit/>
        </w:trPr>
        <w:tc>
          <w:tcPr>
            <w:tcW w:w="464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Accuracy</w:t>
            </w:r>
          </w:p>
        </w:tc>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0.625</w:t>
            </w:r>
          </w:p>
        </w:tc>
        <w:tc>
          <w:tcPr>
            <w:tcW w:w="362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0.458 – 0.773</w:t>
            </w:r>
          </w:p>
        </w:tc>
      </w:tr>
      <w:tr>
        <w:trPr>
          <w:cantSplit/>
        </w:trPr>
        <w:tc>
          <w:tcPr>
            <w:tcW w:w="464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Sensitivity</w:t>
            </w:r>
          </w:p>
        </w:tc>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0.700</w:t>
            </w:r>
          </w:p>
        </w:tc>
        <w:tc>
          <w:tcPr>
            <w:tcW w:w="362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0.457 – 0.881</w:t>
            </w:r>
          </w:p>
        </w:tc>
      </w:tr>
      <w:tr>
        <w:trPr>
          <w:cantSplit/>
        </w:trPr>
        <w:tc>
          <w:tcPr>
            <w:tcW w:w="464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Specificity</w:t>
            </w:r>
          </w:p>
        </w:tc>
        <w:tc>
          <w:tcPr>
            <w:tcW w:w="1473"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0.550</w:t>
            </w:r>
          </w:p>
        </w:tc>
        <w:tc>
          <w:tcPr>
            <w:tcW w:w="3629" w:type="dxa"/>
            <w:tcBorders>
              <w:top w:val="single" w:sz="4" w:space="0" w:color="BFBFBF"/>
              <w:start w:val="single" w:sz="4" w:space="0" w:color="BFBFBF"/>
              <w:bottom w:val="single" w:sz="4" w:space="0" w:color="BFBFBF"/>
              <w:end w:val="single" w:sz="4" w:space="0" w:color="BFBFBF"/>
            </w:tcBorders>
          </w:tcPr>
          <w:p>
            <w:pPr>
              <w:pStyle w:val="Normal"/>
              <w:keepNext w:val="true"/>
              <w:spacing w:lineRule="auto" w:line="240" w:before="0" w:after="0"/>
              <w:rPr/>
            </w:pPr>
            <w:r>
              <w:rPr>
                <w:b w:val="false"/>
                <w:i w:val="false"/>
                <w:sz w:val="18"/>
              </w:rPr>
              <w:t>0.315 – 0.769</w:t>
            </w:r>
          </w:p>
        </w:tc>
      </w:tr>
      <w:tr>
        <w:trPr>
          <w:cantSplit/>
        </w:trPr>
        <w:tc>
          <w:tcPr>
            <w:tcW w:w="464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Brier score (0.25 = constant prediction of 0.5)</w:t>
            </w:r>
          </w:p>
        </w:tc>
        <w:tc>
          <w:tcPr>
            <w:tcW w:w="1473"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0.268</w:t>
            </w:r>
          </w:p>
        </w:tc>
        <w:tc>
          <w:tcPr>
            <w:tcW w:w="362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0.166 – 0.375</w:t>
            </w:r>
          </w:p>
        </w:tc>
      </w:tr>
    </w:tbl>
    <w:p>
      <w:pPr>
        <w:pStyle w:val="Normal"/>
        <w:spacing w:lineRule="exact" w:line="80" w:before="0" w:after="0"/>
        <w:rPr/>
      </w:pPr>
      <w:r>
        <w:rPr/>
      </w:r>
    </w:p>
    <w:p>
      <w:pPr>
        <w:pStyle w:val="Normal"/>
        <w:spacing w:before="0" w:after="40"/>
        <w:rPr/>
      </w:pPr>
      <w:r>
        <w:rPr>
          <w:b/>
          <w:i w:val="false"/>
        </w:rPr>
        <w:t>No metric has a confidence interval that excludes chance.</w:t>
      </w:r>
      <w:r>
        <w:rPr>
          <w:b w:val="false"/>
          <w:i w:val="false"/>
        </w:rPr>
        <w:t xml:space="preserve"> The diagnostics show why:</w:t>
      </w:r>
    </w:p>
    <w:p>
      <w:pPr>
        <w:pStyle w:val="ListBullet"/>
        <w:numPr>
          <w:ilvl w:val="0"/>
          <w:numId w:val="1"/>
        </w:numPr>
        <w:rPr/>
      </w:pPr>
      <w:r>
        <w:rPr>
          <w:b/>
          <w:i w:val="false"/>
        </w:rPr>
        <w:t xml:space="preserve">Immediate overfitting: </w:t>
      </w:r>
      <w:r>
        <w:rPr>
          <w:b w:val="false"/>
          <w:i w:val="false"/>
        </w:rPr>
        <w:t>training AUC exceeded 0.998 within two epochs in every fold, while the mean validation AUC was 0.484.</w:t>
      </w:r>
    </w:p>
    <w:p>
      <w:pPr>
        <w:pStyle w:val="ListBullet"/>
        <w:numPr>
          <w:ilvl w:val="0"/>
          <w:numId w:val="1"/>
        </w:numPr>
        <w:rPr/>
      </w:pPr>
      <w:r>
        <w:rPr>
          <w:b/>
          <w:i w:val="false"/>
        </w:rPr>
        <w:t xml:space="preserve">The model recognised patients: </w:t>
      </w:r>
      <w:r>
        <w:rPr>
          <w:b w:val="false"/>
          <w:i w:val="false"/>
        </w:rPr>
        <w:t>on average, 90% of each window's 10 nearest neighbours in the model's representation came from the same patient (flag threshold: 80%).</w:t>
      </w:r>
    </w:p>
    <w:p>
      <w:pPr>
        <w:pStyle w:val="ListBullet"/>
        <w:numPr>
          <w:ilvl w:val="0"/>
          <w:numId w:val="1"/>
        </w:numPr>
        <w:rPr/>
      </w:pPr>
      <w:r>
        <w:rPr>
          <w:b/>
          <w:i w:val="false"/>
        </w:rPr>
        <w:t xml:space="preserve">It looked at the wrong part of the heartbeat: </w:t>
      </w:r>
      <w:r>
        <w:rPr>
          <w:b w:val="false"/>
          <w:i w:val="false"/>
        </w:rPr>
        <w:t>only 4.8% of the attribution fell on the P-wave and PR region (flag threshold: 15%). Most fell on the QRS complex, the part of the ECG that differs most between individuals.</w:t>
      </w:r>
    </w:p>
    <w:p>
      <w:pPr>
        <w:pStyle w:val="ListBullet"/>
        <w:numPr>
          <w:ilvl w:val="0"/>
          <w:numId w:val="1"/>
        </w:numPr>
        <w:rPr/>
      </w:pPr>
      <w:r>
        <w:rPr>
          <w:b/>
          <w:i w:val="false"/>
        </w:rPr>
        <w:t xml:space="preserve">Little independent information: </w:t>
      </w:r>
      <w:r>
        <w:rPr>
          <w:b w:val="false"/>
          <w:i w:val="false"/>
        </w:rPr>
        <w:t>because windows from one patient are so similar, the 48,640 windows carried the information of only about 72 independent observations.</w:t>
      </w:r>
    </w:p>
    <w:p>
      <w:pPr>
        <w:pStyle w:val="Heading1"/>
        <w:rPr/>
      </w:pPr>
      <w:r>
        <w:rPr/>
        <w:t>What this means</w:t>
      </w:r>
    </w:p>
    <w:p>
      <w:pPr>
        <w:pStyle w:val="Normal"/>
        <w:rPr/>
      </w:pPr>
      <w:r>
        <w:rPr>
          <w:b w:val="false"/>
          <w:i w:val="false"/>
        </w:rPr>
        <w:t>The result is negative, and the thesis reports it as one. On 40 patients the network learned to recognise individuals rather than disease. The architecture, the preprocessing and the evaluation design were each ruled out as the cause; the limiting factor is the number of independent patients. Published models that reach an AUC of 0.80–0.87 were trained on 14,800 to 180,000 patients. The result therefore does not show that the idea is wrong; it shows how much data the approach needs. The trained model must not be used for any clinical decision.</w:t>
      </w:r>
    </w:p>
    <w:p>
      <w:pPr>
        <w:pStyle w:val="Heading1"/>
        <w:rPr/>
      </w:pPr>
      <w:r>
        <w:rPr/>
        <w:t>Contribution: a pipeline that others can retrain</w:t>
      </w:r>
    </w:p>
    <w:p>
      <w:pPr>
        <w:pStyle w:val="Normal"/>
        <w:spacing w:before="0" w:after="60"/>
        <w:rPr/>
      </w:pPr>
      <w:r>
        <w:rPr>
          <w:b w:val="false"/>
          <w:i w:val="false"/>
        </w:rPr>
        <w:t>The lasting contribution is methodological: a complete, tested and openly released path from raw Holter ECG to a patient-level AF-risk estimate, with diagnostics that expose shortcut learning which headline metrics would hide. The thesis classifies every component by whether it carries over to a larger dataset:</w:t>
      </w:r>
    </w:p>
    <w:tbl>
      <w:tblPr>
        <w:tblW w:w="9751" w:type="dxa"/>
        <w:jc w:val="center"/>
        <w:tblInd w:w="0" w:type="dxa"/>
        <w:tblLayout w:type="fixed"/>
        <w:tblCellMar>
          <w:top w:w="40" w:type="dxa"/>
          <w:start w:w="90" w:type="dxa"/>
          <w:bottom w:w="40" w:type="dxa"/>
          <w:end w:w="90" w:type="dxa"/>
        </w:tblCellMar>
        <w:tblLook w:val="04a0" w:firstRow="1" w:noVBand="1" w:lastRow="0" w:firstColumn="1" w:lastColumn="0" w:noHBand="0"/>
      </w:tblPr>
      <w:tblGrid>
        <w:gridCol w:w="3259"/>
        <w:gridCol w:w="3260"/>
        <w:gridCol w:w="3232"/>
      </w:tblGrid>
      <w:tr>
        <w:trPr>
          <w:tblHeader w:val="true"/>
          <w:cantSplit/>
        </w:trPr>
        <w:tc>
          <w:tcPr>
            <w:tcW w:w="3259"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Transfers unchanged</w:t>
            </w:r>
          </w:p>
        </w:tc>
        <w:tc>
          <w:tcPr>
            <w:tcW w:w="3260"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Must be re-tuned on new data</w:t>
            </w:r>
          </w:p>
        </w:tc>
        <w:tc>
          <w:tcPr>
            <w:tcW w:w="3232" w:type="dxa"/>
            <w:tcBorders>
              <w:top w:val="single" w:sz="4" w:space="0" w:color="BFBFBF"/>
              <w:start w:val="single" w:sz="4" w:space="0" w:color="BFBFBF"/>
              <w:bottom w:val="single" w:sz="4" w:space="0" w:color="BFBFBF"/>
              <w:end w:val="single" w:sz="4" w:space="0" w:color="BFBFBF"/>
            </w:tcBorders>
            <w:shd w:color="auto" w:fill="DCE6F2" w:val="clear"/>
            <w:vAlign w:val="center"/>
          </w:tcPr>
          <w:p>
            <w:pPr>
              <w:pStyle w:val="Normal"/>
              <w:keepNext w:val="true"/>
              <w:spacing w:lineRule="auto" w:line="240" w:before="0" w:after="0"/>
              <w:rPr/>
            </w:pPr>
            <w:r>
              <w:rPr>
                <w:b/>
                <w:i w:val="false"/>
                <w:color w:val="1F3864"/>
                <w:sz w:val="18"/>
              </w:rPr>
              <w:t>Does not transfer</w:t>
            </w:r>
          </w:p>
        </w:tc>
      </w:tr>
      <w:tr>
        <w:trPr>
          <w:cantSplit/>
        </w:trPr>
        <w:tc>
          <w:tcPr>
            <w:tcW w:w="325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AF-free extraction with safety buffers · patient-level splits · patient-level reporting and confidence intervals · diagnostic battery · separate training and evaluation</w:t>
            </w:r>
          </w:p>
        </w:tc>
        <w:tc>
          <w:tcPr>
            <w:tcW w:w="3260"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Model size and regularisation · epochs and early stopping · windows per patient · lead choice · decision threshold · model selection (full nested cross-validation recommended)</w:t>
            </w:r>
          </w:p>
        </w:tc>
        <w:tc>
          <w:tcPr>
            <w:tcW w:w="3232"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pPr>
            <w:r>
              <w:rPr>
                <w:b w:val="false"/>
                <w:i w:val="false"/>
                <w:sz w:val="18"/>
              </w:rPr>
              <w:t>Trained weights · label definition · reported results · data environment (European health data must be stored and processed in EU data centres under GDPR)</w:t>
            </w:r>
          </w:p>
        </w:tc>
      </w:tr>
    </w:tbl>
    <w:p>
      <w:pPr>
        <w:pStyle w:val="Normal"/>
        <w:spacing w:lineRule="exact" w:line="80" w:before="0" w:after="0"/>
        <w:rPr/>
      </w:pPr>
      <w:r>
        <w:rPr/>
      </w:r>
    </w:p>
    <w:p>
      <w:pPr>
        <w:pStyle w:val="Heading1"/>
        <w:rPr/>
      </w:pPr>
      <w:r>
        <w:rPr/>
        <w:t>Reproducing the results</w:t>
      </w:r>
    </w:p>
    <w:p>
      <w:pPr>
        <w:pStyle w:val="Normal"/>
        <w:rPr/>
      </w:pPr>
      <w:r>
        <w:rPr>
          <w:b w:val="false"/>
          <w:i w:val="false"/>
        </w:rPr>
        <w:t xml:space="preserve">Download SHDB-AF from PhysioNet, set </w:t>
      </w:r>
      <w:r>
        <w:rPr>
          <w:b/>
          <w:i w:val="false"/>
        </w:rPr>
        <w:t>DATA_ROOT</w:t>
      </w:r>
      <w:r>
        <w:rPr>
          <w:b w:val="false"/>
          <w:i w:val="false"/>
        </w:rPr>
        <w:t xml:space="preserve"> in each notebook to the downloaded folder and run the three notebooks in order; the </w:t>
      </w:r>
      <w:r>
        <w:rPr>
          <w:b/>
          <w:bCs/>
          <w:i w:val="false"/>
        </w:rPr>
        <w:t>README</w:t>
      </w:r>
      <w:r>
        <w:rPr>
          <w:b w:val="false"/>
          <w:i w:val="false"/>
        </w:rPr>
        <w:t xml:space="preserve"> in the </w:t>
      </w:r>
      <w:hyperlink r:id="rId4">
        <w:r>
          <w:rPr>
            <w:rStyle w:val="Style"/>
            <w:color w:val="1F4E79"/>
            <w:u w:val="single"/>
          </w:rPr>
          <w:t>repository</w:t>
        </w:r>
      </w:hyperlink>
      <w:r>
        <w:rPr>
          <w:b w:val="false"/>
          <w:i w:val="false"/>
        </w:rPr>
        <w:t xml:space="preserve"> gives step-by-step instructions. The full run took under 3 hours on a free Google Colab T4 GPU (165 minutes of training and 10 minutes of evaluation).</w:t>
      </w:r>
    </w:p>
    <w:p>
      <w:pPr>
        <w:pStyle w:val="Heading1"/>
        <w:rPr/>
      </w:pPr>
      <w:r>
        <w:rPr/>
        <w:t>Contact</w:t>
      </w:r>
    </w:p>
    <w:p>
      <w:pPr>
        <w:pStyle w:val="Normal"/>
        <w:widowControl/>
        <w:bidi w:val="0"/>
        <w:spacing w:lineRule="auto" w:line="259" w:before="0" w:after="70"/>
        <w:jc w:val="start"/>
        <w:rPr/>
      </w:pPr>
      <w:r>
        <w:rPr>
          <w:b w:val="false"/>
          <w:i w:val="false"/>
        </w:rPr>
        <w:t xml:space="preserve">Questions about the code are best raised as an issue in the </w:t>
      </w:r>
      <w:hyperlink r:id="rId5">
        <w:r>
          <w:rPr>
            <w:rStyle w:val="Style"/>
            <w:color w:val="1F4E79"/>
            <w:u w:val="single"/>
          </w:rPr>
          <w:t>GitHub repository</w:t>
        </w:r>
      </w:hyperlink>
      <w:r>
        <w:rPr>
          <w:b w:val="false"/>
          <w:i w:val="false"/>
        </w:rPr>
        <w:t xml:space="preserve">. For collaboration or reuse enquiries: </w:t>
      </w:r>
      <w:hyperlink r:id="rId6">
        <w:r>
          <w:rPr>
            <w:rStyle w:val="Style"/>
            <w:color w:val="1F4E79"/>
            <w:u w:val="single"/>
          </w:rPr>
          <w:t>linkedin.com/in/fotismagoulas</w:t>
        </w:r>
      </w:hyperlink>
      <w:r>
        <w:rPr>
          <w:b w:val="false"/>
          <w:i w:val="false"/>
        </w:rPr>
        <w:t>.</w:t>
      </w:r>
    </w:p>
    <w:sectPr>
      <w:footerReference w:type="even" r:id="rId7"/>
      <w:footerReference w:type="default" r:id="rId8"/>
      <w:footerReference w:type="first" r:id="rId9"/>
      <w:type w:val="nextPage"/>
      <w:pgSz w:w="11906" w:h="16838"/>
      <w:pgMar w:left="1077" w:right="1077" w:gutter="0" w:header="0" w:top="907" w:footer="454"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595959"/>
        <w:sz w:val="16"/>
      </w:rPr>
      <w:t xml:space="preserve">Predicting AF Risk from AF-Free ECG Recordings  ·  Project summary  ·  Page </w:t>
    </w:r>
    <w:r>
      <w:rPr>
        <w:b w:val="false"/>
        <w:i w:val="false"/>
      </w:rPr>
      <w:fldChar w:fldCharType="begin"/>
    </w:r>
    <w:r>
      <w:rPr>
        <w:b w:val="false"/>
        <w:i w:val="false"/>
      </w:rPr>
      <w:instrText xml:space="preserve"> PAGE </w:instrText>
    </w:r>
    <w:r>
      <w:rPr>
        <w:b w:val="false"/>
        <w:i w:val="false"/>
      </w:rPr>
      <w:fldChar w:fldCharType="separate"/>
    </w:r>
    <w:r>
      <w:rPr>
        <w:b w:val="false"/>
        <w:i w:val="false"/>
      </w:rPr>
      <w:t>2</w:t>
    </w:r>
    <w:r>
      <w:rPr>
        <w:b w:val="false"/>
        <w:i w:val="false"/>
      </w:rPr>
      <w:fldChar w:fldCharType="end"/>
    </w:r>
    <w:r>
      <w:rPr>
        <w:b w:val="false"/>
        <w:i w:val="false"/>
        <w:color w:val="595959"/>
        <w:sz w:val="16"/>
      </w:rPr>
      <w:t xml:space="preserve"> of </w:t>
    </w:r>
    <w:r>
      <w:rPr>
        <w:b w:val="false"/>
        <w:i w:val="false"/>
      </w:rPr>
      <w:fldChar w:fldCharType="begin"/>
    </w:r>
    <w:r>
      <w:rPr>
        <w:b w:val="false"/>
        <w:i w:val="false"/>
      </w:rPr>
      <w:instrText xml:space="preserve"> NUMPAGES </w:instrText>
    </w:r>
    <w:r>
      <w:rPr>
        <w:b w:val="false"/>
        <w:i w:val="false"/>
      </w:rPr>
      <w:fldChar w:fldCharType="separate"/>
    </w:r>
    <w:r>
      <w:rPr>
        <w:b w:val="false"/>
        <w:i w:val="false"/>
      </w:rPr>
      <w:t>2</w:t>
    </w:r>
    <w:r>
      <w:rPr>
        <w:b w:val="false"/>
        <w:i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595959"/>
        <w:sz w:val="16"/>
      </w:rPr>
      <w:t xml:space="preserve">Predicting AF Risk from AF-Free ECG Recordings  ·  Project summary  ·  Page </w:t>
    </w:r>
    <w:r>
      <w:rPr>
        <w:b w:val="false"/>
        <w:i w:val="false"/>
      </w:rPr>
      <w:fldChar w:fldCharType="begin"/>
    </w:r>
    <w:r>
      <w:rPr>
        <w:b w:val="false"/>
        <w:i w:val="false"/>
      </w:rPr>
      <w:instrText xml:space="preserve"> PAGE </w:instrText>
    </w:r>
    <w:r>
      <w:rPr>
        <w:b w:val="false"/>
        <w:i w:val="false"/>
      </w:rPr>
      <w:fldChar w:fldCharType="separate"/>
    </w:r>
    <w:r>
      <w:rPr>
        <w:b w:val="false"/>
        <w:i w:val="false"/>
      </w:rPr>
      <w:t>2</w:t>
    </w:r>
    <w:r>
      <w:rPr>
        <w:b w:val="false"/>
        <w:i w:val="false"/>
      </w:rPr>
      <w:fldChar w:fldCharType="end"/>
    </w:r>
    <w:r>
      <w:rPr>
        <w:b w:val="false"/>
        <w:i w:val="false"/>
        <w:color w:val="595959"/>
        <w:sz w:val="16"/>
      </w:rPr>
      <w:t xml:space="preserve"> of </w:t>
    </w:r>
    <w:r>
      <w:rPr>
        <w:b w:val="false"/>
        <w:i w:val="false"/>
      </w:rPr>
      <w:fldChar w:fldCharType="begin"/>
    </w:r>
    <w:r>
      <w:rPr>
        <w:b w:val="false"/>
        <w:i w:val="false"/>
      </w:rPr>
      <w:instrText xml:space="preserve"> NUMPAGES </w:instrText>
    </w:r>
    <w:r>
      <w:rPr>
        <w:b w:val="false"/>
        <w:i w:val="false"/>
      </w:rPr>
      <w:fldChar w:fldCharType="separate"/>
    </w:r>
    <w:r>
      <w:rPr>
        <w:b w:val="false"/>
        <w:i w:val="false"/>
      </w:rPr>
      <w:t>2</w:t>
    </w:r>
    <w:r>
      <w:rPr>
        <w:b w:val="false"/>
        <w:i w:val="fals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70"/>
      <w:jc w:val="start"/>
    </w:pPr>
    <w:rPr>
      <w:rFonts w:ascii="Calibri" w:hAnsi="Calibri" w:eastAsia="Calibri"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50"/>
      <w:outlineLvl w:val="0"/>
    </w:pPr>
    <w:rPr>
      <w:rFonts w:ascii="Calibri" w:hAnsi="Calibri"/>
      <w:b/>
      <w:bCs/>
      <w:color w:val="1F4E79"/>
      <w:sz w:val="2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7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z w:val="16"/>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7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70"/>
      <w:ind w:hanging="360" w:start="720"/>
      <w:contextualSpacing/>
    </w:pPr>
    <w:rPr/>
  </w:style>
  <w:style w:type="paragraph" w:styleId="List3">
    <w:name w:val="List 3"/>
    <w:basedOn w:val="Normal"/>
    <w:uiPriority w:val="99"/>
    <w:unhideWhenUsed/>
    <w:qFormat/>
    <w:rsid w:val="00326f90"/>
    <w:pPr>
      <w:spacing w:before="0" w:after="70"/>
      <w:ind w:hanging="360" w:start="1080"/>
      <w:contextualSpacing/>
    </w:pPr>
    <w:rPr/>
  </w:style>
  <w:style w:type="paragraph" w:styleId="ListBullet">
    <w:name w:val="List Bullet"/>
    <w:basedOn w:val="Normal"/>
    <w:uiPriority w:val="99"/>
    <w:unhideWhenUsed/>
    <w:rsid w:val="00326f90"/>
    <w:pPr>
      <w:numPr>
        <w:ilvl w:val="0"/>
        <w:numId w:val="1"/>
      </w:numPr>
      <w:spacing w:lineRule="auto" w:line="252" w:before="0" w:after="40"/>
      <w:contextualSpacing/>
    </w:pPr>
    <w:rPr>
      <w:rFonts w:ascii="Calibri" w:hAnsi="Calibri"/>
      <w:sz w:val="20"/>
    </w:rPr>
  </w:style>
  <w:style w:type="paragraph" w:styleId="ListBullet2">
    <w:name w:val="List Bullet 2"/>
    <w:basedOn w:val="Normal"/>
    <w:uiPriority w:val="99"/>
    <w:unhideWhenUsed/>
    <w:rsid w:val="00326f90"/>
    <w:pPr>
      <w:numPr>
        <w:ilvl w:val="0"/>
        <w:numId w:val="2"/>
      </w:numPr>
      <w:spacing w:before="0" w:after="70"/>
      <w:contextualSpacing/>
    </w:pPr>
    <w:rPr/>
  </w:style>
  <w:style w:type="paragraph" w:styleId="ListBullet3">
    <w:name w:val="List Bullet 3"/>
    <w:basedOn w:val="Normal"/>
    <w:uiPriority w:val="99"/>
    <w:unhideWhenUsed/>
    <w:rsid w:val="00326f90"/>
    <w:pPr>
      <w:numPr>
        <w:ilvl w:val="0"/>
        <w:numId w:val="3"/>
      </w:numPr>
      <w:spacing w:before="0" w:after="70"/>
      <w:contextualSpacing/>
    </w:pPr>
    <w:rPr/>
  </w:style>
  <w:style w:type="paragraph" w:styleId="ListNumber">
    <w:name w:val="List Number"/>
    <w:basedOn w:val="Normal"/>
    <w:uiPriority w:val="99"/>
    <w:unhideWhenUsed/>
    <w:rsid w:val="00326f90"/>
    <w:pPr>
      <w:numPr>
        <w:ilvl w:val="0"/>
        <w:numId w:val="4"/>
      </w:numPr>
      <w:spacing w:lineRule="auto" w:line="252" w:before="0" w:after="40"/>
      <w:contextualSpacing/>
    </w:pPr>
    <w:rPr>
      <w:rFonts w:ascii="Calibri" w:hAnsi="Calibri"/>
      <w:sz w:val="20"/>
    </w:rPr>
  </w:style>
  <w:style w:type="paragraph" w:styleId="ListNumber2">
    <w:name w:val="List Number 2"/>
    <w:basedOn w:val="Normal"/>
    <w:uiPriority w:val="99"/>
    <w:unhideWhenUsed/>
    <w:rsid w:val="0029639d"/>
    <w:pPr>
      <w:numPr>
        <w:ilvl w:val="0"/>
        <w:numId w:val="5"/>
      </w:numPr>
      <w:spacing w:before="0" w:after="70"/>
      <w:contextualSpacing/>
    </w:pPr>
    <w:rPr/>
  </w:style>
  <w:style w:type="paragraph" w:styleId="ListNumber3">
    <w:name w:val="List Number 3"/>
    <w:basedOn w:val="Normal"/>
    <w:uiPriority w:val="99"/>
    <w:unhideWhenUsed/>
    <w:rsid w:val="0029639d"/>
    <w:pPr>
      <w:numPr>
        <w:ilvl w:val="0"/>
        <w:numId w:val="6"/>
      </w:numPr>
      <w:spacing w:before="0" w:after="7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rn.kb.se/resolve?urn=urn:nbn:se:mau:diva-88253" TargetMode="External"/><Relationship Id="rId3" Type="http://schemas.openxmlformats.org/officeDocument/2006/relationships/hyperlink" Target="https://github.com/fotod/Predicting-Atrial-Fibrillation-Risk-from-AF-Free-ECG-Recordings" TargetMode="External"/><Relationship Id="rId4" Type="http://schemas.openxmlformats.org/officeDocument/2006/relationships/hyperlink" Target="https://github.com/fotod/Predicting-Atrial-Fibrillation-Risk-from-AF-Free-ECG-Recordings" TargetMode="External"/><Relationship Id="rId5" Type="http://schemas.openxmlformats.org/officeDocument/2006/relationships/hyperlink" Target="https://github.com/fotod/Predicting-Atrial-Fibrillation-Risk-from-AF-Free-ECG-Recordings" TargetMode="External"/><Relationship Id="rId6" Type="http://schemas.openxmlformats.org/officeDocument/2006/relationships/hyperlink" Target="https://www.linkedin.com/in/fotismagoulas"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1073</Words>
  <Characters>5881</Characters>
  <CharactersWithSpaces>6902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2026-09-22T20:42:21Z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