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rsidR="00141471" w:rsidRPr="00D07716" w:rsidRDefault="00141471" w:rsidP="00141471">
      <w:pPr>
        <w:pStyle w:val="NoSpacing"/>
        <w:rPr>
          <w:rFonts w:ascii="Arial" w:hAnsi="Arial" w:cs="Arial"/>
          <w:lang w:val="es-MX"/>
        </w:rPr>
      </w:pPr>
    </w:p>
    <w:p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rsidR="00141471" w:rsidRPr="00D07716" w:rsidRDefault="00141471" w:rsidP="00141471">
      <w:pPr>
        <w:pStyle w:val="NoSpacing"/>
        <w:rPr>
          <w:rFonts w:ascii="Arial" w:hAnsi="Arial" w:cs="Arial"/>
          <w:sz w:val="24"/>
          <w:lang w:val="es-MX"/>
        </w:rPr>
      </w:pPr>
    </w:p>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Motivación</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esto para </w:t>
      </w:r>
      <m:oMath>
        <m:r>
          <w:rPr>
            <w:rFonts w:ascii="Cambria Math" w:hAnsi="Cambria Math" w:cs="Arial"/>
            <w:lang w:val="es-MX"/>
          </w:rPr>
          <m:t>h</m:t>
        </m:r>
      </m:oMath>
      <w:r w:rsidRPr="00D07716">
        <w:rPr>
          <w:rFonts w:ascii="Arial" w:hAnsi="Arial" w:cs="Arial"/>
          <w:lang w:val="es-MX"/>
        </w:rPr>
        <w:t xml:space="preserve"> pasos adelante. Lo relevante de la metodología fue plantear un modelo denominado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002A3A66">
        <w:rPr>
          <w:rFonts w:ascii="Arial" w:eastAsiaTheme="minorEastAsia" w:hAnsi="Arial" w:cs="Arial"/>
          <w:lang w:val="es-MX"/>
        </w:rPr>
        <w:t xml:space="preserve"> que pronosticó</w:t>
      </w:r>
      <w:r w:rsidRPr="00D07716">
        <w:rPr>
          <w:rFonts w:ascii="Arial" w:eastAsiaTheme="minorEastAsia" w:hAnsi="Arial" w:cs="Arial"/>
          <w:lang w:val="es-MX"/>
        </w:rPr>
        <w:t xml:space="preserve">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w:t>
      </w:r>
      <w:r w:rsidR="002A3A66">
        <w:rPr>
          <w:rFonts w:ascii="Arial" w:eastAsiaTheme="minorEastAsia" w:hAnsi="Arial" w:cs="Arial"/>
          <w:lang w:val="es-MX"/>
        </w:rPr>
        <w:t>podemos representar</w:t>
      </w:r>
      <w:r w:rsidRPr="00D07716">
        <w:rPr>
          <w:rFonts w:ascii="Arial" w:eastAsiaTheme="minorEastAsia" w:hAnsi="Arial" w:cs="Arial"/>
          <w:lang w:val="es-MX"/>
        </w:rPr>
        <w:t xml:space="preserve"> de la siguiente manera:</w:t>
      </w:r>
    </w:p>
    <w:p w:rsidR="00141471" w:rsidRPr="00D07716" w:rsidRDefault="00141471" w:rsidP="00141471">
      <w:pPr>
        <w:pStyle w:val="NoSpacing"/>
        <w:rPr>
          <w:rFonts w:ascii="Arial" w:eastAsiaTheme="minorEastAsia" w:hAnsi="Arial" w:cs="Arial"/>
          <w:lang w:val="es-MX"/>
        </w:rPr>
      </w:pPr>
    </w:p>
    <w:p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rsidR="00141471" w:rsidRPr="00D07716" w:rsidRDefault="00141471" w:rsidP="00141471">
      <w:pPr>
        <w:pStyle w:val="NoSpacing"/>
        <w:rPr>
          <w:rFonts w:ascii="Arial" w:eastAsiaTheme="minorEastAsia" w:hAnsi="Arial" w:cs="Arial"/>
          <w:lang w:val="es-MX"/>
        </w:rPr>
      </w:pPr>
    </w:p>
    <w:p w:rsidR="00141471" w:rsidRPr="00D07716" w:rsidRDefault="00710D49"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rsidR="00DE1C6B" w:rsidRPr="00D07716" w:rsidRDefault="00DE1C6B" w:rsidP="00141471">
      <w:pPr>
        <w:pStyle w:val="NoSpacing"/>
        <w:rPr>
          <w:rFonts w:ascii="Arial" w:eastAsiaTheme="minorEastAsia" w:hAnsi="Arial" w:cs="Arial"/>
          <w:lang w:val="es-MX"/>
        </w:rPr>
      </w:pPr>
    </w:p>
    <w:p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rsidR="00DE1C6B" w:rsidRPr="00D07716" w:rsidRDefault="00DE1C6B" w:rsidP="00141471">
      <w:pPr>
        <w:pStyle w:val="NoSpacing"/>
        <w:rPr>
          <w:rFonts w:ascii="Arial" w:eastAsiaTheme="minorEastAsia" w:hAnsi="Arial" w:cs="Arial"/>
          <w:lang w:val="es-MX"/>
        </w:rPr>
      </w:pPr>
    </w:p>
    <w:p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2A3A66">
        <w:rPr>
          <w:rFonts w:ascii="Arial" w:hAnsi="Arial" w:cs="Arial"/>
          <w:lang w:val="es-MX"/>
        </w:rPr>
        <w:t>imos Cuadrados Ordinarios (OLS).</w:t>
      </w:r>
      <w:r w:rsidRPr="00D07716">
        <w:rPr>
          <w:rFonts w:ascii="Arial" w:hAnsi="Arial" w:cs="Arial"/>
          <w:lang w:val="es-MX"/>
        </w:rPr>
        <w:t xml:space="preserve">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converge rápidamente a la media incondicional (obviamente</w:t>
      </w:r>
      <w:r w:rsidR="002A3A66">
        <w:rPr>
          <w:rFonts w:ascii="Arial" w:eastAsiaTheme="minorEastAsia" w:hAnsi="Arial" w:cs="Arial"/>
          <w:lang w:val="es-MX"/>
        </w:rPr>
        <w:t xml:space="preserve"> </w:t>
      </w:r>
      <w:r w:rsidR="002A3A66" w:rsidRPr="00D07716">
        <w:rPr>
          <w:rFonts w:ascii="Arial" w:eastAsiaTheme="minorEastAsia" w:hAnsi="Arial" w:cs="Arial"/>
          <w:lang w:val="es-MX"/>
        </w:rPr>
        <w:t>la rapidez</w:t>
      </w:r>
      <w:r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rsidR="00D07716" w:rsidRDefault="00D07716" w:rsidP="00141471">
      <w:pPr>
        <w:pStyle w:val="NoSpacing"/>
        <w:rPr>
          <w:rFonts w:ascii="Arial" w:eastAsiaTheme="minorEastAsia" w:hAnsi="Arial" w:cs="Arial"/>
          <w:lang w:val="es-MX"/>
        </w:rPr>
      </w:pPr>
    </w:p>
    <w:p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Pr="00D07716">
        <w:rPr>
          <w:rFonts w:ascii="Arial" w:eastAsiaTheme="minorEastAsia" w:hAnsi="Arial" w:cs="Arial"/>
          <w:lang w:val="es-MX"/>
        </w:rPr>
        <w:t xml:space="preserve"> modelos</w:t>
      </w:r>
      <w:r w:rsidR="002A3A66">
        <w:rPr>
          <w:rFonts w:ascii="Arial" w:eastAsiaTheme="minorEastAsia" w:hAnsi="Arial" w:cs="Arial"/>
          <w:lang w:val="es-MX"/>
        </w:rPr>
        <w:t>,</w:t>
      </w:r>
      <w:r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rsidR="00405624" w:rsidRPr="00D07716" w:rsidRDefault="00405624" w:rsidP="00141471">
      <w:pPr>
        <w:pStyle w:val="NoSpacing"/>
        <w:rPr>
          <w:rFonts w:ascii="Arial" w:eastAsiaTheme="minorEastAsia" w:hAnsi="Arial" w:cs="Arial"/>
          <w:lang w:val="es-MX"/>
        </w:rPr>
      </w:pPr>
    </w:p>
    <w:p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w:t>
      </w:r>
      <w:r w:rsidRPr="00D07716">
        <w:rPr>
          <w:rFonts w:ascii="Arial" w:eastAsiaTheme="minorEastAsia" w:hAnsi="Arial" w:cs="Arial"/>
          <w:lang w:val="es-MX"/>
        </w:rPr>
        <w:lastRenderedPageBreak/>
        <w:t xml:space="preserve">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rsidR="00E8405E" w:rsidRPr="00D07716" w:rsidRDefault="00E8405E" w:rsidP="00141471">
      <w:pPr>
        <w:pStyle w:val="NoSpacing"/>
        <w:rPr>
          <w:rFonts w:ascii="Arial" w:eastAsiaTheme="minorEastAsia" w:hAnsi="Arial" w:cs="Arial"/>
          <w:lang w:val="es-MX"/>
        </w:rPr>
      </w:pPr>
    </w:p>
    <w:p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hasta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rsidR="000B4448" w:rsidRPr="00D07716" w:rsidRDefault="000B4448" w:rsidP="00E8405E">
      <w:pPr>
        <w:pStyle w:val="NoSpacing"/>
        <w:rPr>
          <w:rFonts w:ascii="Arial" w:eastAsiaTheme="minorEastAsia" w:hAnsi="Arial" w:cs="Arial"/>
          <w:lang w:val="es-MX"/>
        </w:rPr>
      </w:pPr>
    </w:p>
    <w:p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rsidR="000B4448" w:rsidRPr="00D07716" w:rsidRDefault="000B4448" w:rsidP="00E8405E">
      <w:pPr>
        <w:pStyle w:val="NoSpacing"/>
        <w:rPr>
          <w:rFonts w:ascii="Arial" w:eastAsiaTheme="minorEastAsia" w:hAnsi="Arial" w:cs="Arial"/>
          <w:lang w:val="es-MX"/>
        </w:rPr>
      </w:pPr>
    </w:p>
    <w:p w:rsidR="008A1EBD" w:rsidRPr="00D07716" w:rsidRDefault="002A3A66" w:rsidP="00E8405E">
      <w:pPr>
        <w:pStyle w:val="NoSpacing"/>
        <w:rPr>
          <w:rFonts w:ascii="Arial" w:eastAsiaTheme="minorEastAsia" w:hAnsi="Arial" w:cs="Arial"/>
          <w:lang w:val="es-MX"/>
        </w:rPr>
      </w:pPr>
      <w:r>
        <w:rPr>
          <w:rFonts w:ascii="Arial" w:eastAsiaTheme="minorEastAsia" w:hAnsi="Arial" w:cs="Arial"/>
          <w:lang w:val="es-MX"/>
        </w:rPr>
        <w:t>Para este</w:t>
      </w:r>
      <w:r w:rsidR="000B4448" w:rsidRPr="00D07716">
        <w:rPr>
          <w:rFonts w:ascii="Arial" w:eastAsiaTheme="minorEastAsia" w:hAnsi="Arial" w:cs="Arial"/>
          <w:lang w:val="es-MX"/>
        </w:rPr>
        <w:t xml:space="preserve">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Pr>
          <w:rFonts w:ascii="Arial" w:eastAsiaTheme="minorEastAsia" w:hAnsi="Arial" w:cs="Arial"/>
          <w:lang w:val="es-MX"/>
        </w:rPr>
        <w:t xml:space="preserve"> obtenida por PLS resulta</w:t>
      </w:r>
      <w:r w:rsidR="008A1EBD" w:rsidRPr="00D07716">
        <w:rPr>
          <w:rFonts w:ascii="Arial" w:eastAsiaTheme="minorEastAsia" w:hAnsi="Arial" w:cs="Arial"/>
          <w:lang w:val="es-MX"/>
        </w:rPr>
        <w:t xml:space="preserve">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oMath>
      <w:r w:rsidR="008A1EBD" w:rsidRPr="00D07716">
        <w:rPr>
          <w:rFonts w:ascii="Arial" w:eastAsiaTheme="minorEastAsia" w:hAnsi="Arial" w:cs="Arial"/>
          <w:lang w:val="es-MX"/>
        </w:rPr>
        <w:t xml:space="preserve"> (Hank &amp; Friedman (1991))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rsidR="008A1EBD" w:rsidRPr="00D07716" w:rsidRDefault="008A1EBD" w:rsidP="00E8405E">
      <w:pPr>
        <w:pStyle w:val="NoSpacing"/>
        <w:rPr>
          <w:rFonts w:ascii="Arial" w:eastAsiaTheme="minorEastAsia" w:hAnsi="Arial" w:cs="Arial"/>
          <w:lang w:val="es-MX"/>
        </w:rPr>
      </w:pP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rsidR="005462E9" w:rsidRPr="00D07716" w:rsidRDefault="005462E9" w:rsidP="005462E9">
      <w:pPr>
        <w:pStyle w:val="NoSpacing"/>
        <w:rPr>
          <w:rFonts w:ascii="Arial" w:eastAsiaTheme="minorEastAsia" w:hAnsi="Arial" w:cs="Arial"/>
          <w:lang w:val="es-MX"/>
        </w:rPr>
      </w:pPr>
    </w:p>
    <w:p w:rsidR="002A3A66" w:rsidRDefault="005462E9" w:rsidP="005462E9">
      <w:pPr>
        <w:pStyle w:val="NoSpacing"/>
        <w:rPr>
          <w:rFonts w:ascii="Arial" w:eastAsiaTheme="minorEastAsia" w:hAnsi="Arial" w:cs="Arial"/>
          <w:lang w:val="es-MX"/>
        </w:rPr>
      </w:pPr>
      <w:r w:rsidRPr="00D07716">
        <w:rPr>
          <w:rFonts w:ascii="Arial" w:eastAsiaTheme="minorEastAsia" w:hAnsi="Arial" w:cs="Arial"/>
          <w:lang w:val="es-MX"/>
        </w:rPr>
        <w:t xml:space="preserve">Estos puntos serán desarrollados en los siguientes temas, no obstante en la siguiente sección se da una ligera revisión de los elementos importantes que rescataremos de un modelo VAR y la construcción del ejercicio de </w:t>
      </w:r>
      <w:r w:rsidR="002A3A66">
        <w:rPr>
          <w:rFonts w:ascii="Arial" w:eastAsiaTheme="minorEastAsia" w:hAnsi="Arial" w:cs="Arial"/>
          <w:lang w:val="es-MX"/>
        </w:rPr>
        <w:t xml:space="preserve">PLS. </w:t>
      </w:r>
    </w:p>
    <w:p w:rsidR="002A3A66" w:rsidRDefault="002A3A66" w:rsidP="005462E9">
      <w:pPr>
        <w:pStyle w:val="NoSpacing"/>
        <w:rPr>
          <w:rFonts w:ascii="Arial" w:eastAsiaTheme="minorEastAsia" w:hAnsi="Arial" w:cs="Arial"/>
          <w:lang w:val="es-MX"/>
        </w:rPr>
      </w:pPr>
    </w:p>
    <w:p w:rsidR="005462E9" w:rsidRPr="00D07716" w:rsidRDefault="002A3A66" w:rsidP="005462E9">
      <w:pPr>
        <w:pStyle w:val="NoSpacing"/>
        <w:rPr>
          <w:rFonts w:ascii="Arial" w:eastAsiaTheme="minorEastAsia" w:hAnsi="Arial" w:cs="Arial"/>
          <w:i/>
          <w:lang w:val="es-MX"/>
        </w:rPr>
      </w:pPr>
      <w:r>
        <w:rPr>
          <w:rFonts w:ascii="Arial" w:eastAsiaTheme="minorEastAsia" w:hAnsi="Arial" w:cs="Arial"/>
          <w:lang w:val="es-MX"/>
        </w:rPr>
        <w:t>En la siguiente sección se agruparán</w:t>
      </w:r>
      <w:r w:rsidR="005462E9" w:rsidRPr="00D07716">
        <w:rPr>
          <w:rFonts w:ascii="Arial" w:eastAsiaTheme="minorEastAsia" w:hAnsi="Arial" w:cs="Arial"/>
          <w:lang w:val="es-MX"/>
        </w:rPr>
        <w:t xml:space="preserve"> las similitu</w:t>
      </w:r>
      <w:r>
        <w:rPr>
          <w:rFonts w:ascii="Arial" w:eastAsiaTheme="minorEastAsia" w:hAnsi="Arial" w:cs="Arial"/>
          <w:lang w:val="es-MX"/>
        </w:rPr>
        <w:t>des que dan cabida al VAR-PLS, d</w:t>
      </w:r>
      <w:r w:rsidR="005462E9" w:rsidRPr="00D07716">
        <w:rPr>
          <w:rFonts w:ascii="Arial" w:eastAsiaTheme="minorEastAsia" w:hAnsi="Arial" w:cs="Arial"/>
          <w:lang w:val="es-MX"/>
        </w:rPr>
        <w:t>espués explicaremos a detalle el ejemplo para el caso de la predicción del índice nacional de precios al consumidor a través de un planteamiento clásico de la fuente inflacionaria, explicando los resultados</w:t>
      </w:r>
      <w:r>
        <w:rPr>
          <w:rFonts w:ascii="Arial" w:eastAsiaTheme="minorEastAsia" w:hAnsi="Arial" w:cs="Arial"/>
          <w:lang w:val="es-MX"/>
        </w:rPr>
        <w:t xml:space="preserve"> obtenidos y</w:t>
      </w:r>
      <w:r w:rsidR="005462E9" w:rsidRPr="00D07716">
        <w:rPr>
          <w:rFonts w:ascii="Arial" w:eastAsiaTheme="minorEastAsia" w:hAnsi="Arial" w:cs="Arial"/>
          <w:lang w:val="es-MX"/>
        </w:rPr>
        <w:t xml:space="preserve"> finalizando con las conclusiones.</w:t>
      </w:r>
    </w:p>
    <w:p w:rsidR="008A1EBD" w:rsidRDefault="008A1EBD" w:rsidP="008A1EBD">
      <w:pPr>
        <w:pStyle w:val="NoSpacing"/>
        <w:ind w:left="360"/>
        <w:rPr>
          <w:rFonts w:ascii="Arial" w:eastAsiaTheme="minorEastAsia" w:hAnsi="Arial" w:cs="Arial"/>
          <w:i/>
          <w:lang w:val="es-MX"/>
        </w:rPr>
      </w:pPr>
    </w:p>
    <w:p w:rsidR="002A3A66" w:rsidRDefault="002A3A66" w:rsidP="008A1EBD">
      <w:pPr>
        <w:pStyle w:val="NoSpacing"/>
        <w:ind w:left="360"/>
        <w:rPr>
          <w:rFonts w:ascii="Arial" w:eastAsiaTheme="minorEastAsia" w:hAnsi="Arial" w:cs="Arial"/>
          <w:i/>
          <w:lang w:val="es-MX"/>
        </w:rPr>
      </w:pPr>
    </w:p>
    <w:p w:rsidR="002A3A66" w:rsidRPr="00D07716" w:rsidRDefault="002A3A66" w:rsidP="008A1EBD">
      <w:pPr>
        <w:pStyle w:val="NoSpacing"/>
        <w:ind w:left="360"/>
        <w:rPr>
          <w:rFonts w:ascii="Arial" w:eastAsiaTheme="minorEastAsia" w:hAnsi="Arial" w:cs="Arial"/>
          <w:i/>
          <w:lang w:val="es-MX"/>
        </w:rPr>
      </w:pPr>
    </w:p>
    <w:p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lastRenderedPageBreak/>
        <w:t>Vectores Autorregresivos y Mínimos Cuadrados Parciales</w:t>
      </w:r>
    </w:p>
    <w:p w:rsidR="004B221D" w:rsidRPr="00D07716" w:rsidRDefault="004B221D" w:rsidP="008A1EBD">
      <w:pPr>
        <w:pStyle w:val="NoSpacing"/>
        <w:rPr>
          <w:rFonts w:ascii="Arial" w:eastAsiaTheme="minorEastAsia" w:hAnsi="Arial" w:cs="Arial"/>
          <w:lang w:val="es-MX"/>
        </w:rPr>
      </w:pPr>
    </w:p>
    <w:p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rsidR="00FD7EC2" w:rsidRPr="00D07716" w:rsidRDefault="00FD7EC2" w:rsidP="008A1EBD">
      <w:pPr>
        <w:pStyle w:val="NoSpacing"/>
        <w:rPr>
          <w:rFonts w:ascii="Arial" w:eastAsiaTheme="minorEastAsia" w:hAnsi="Arial" w:cs="Arial"/>
          <w:lang w:val="es-MX"/>
        </w:rPr>
      </w:pPr>
    </w:p>
    <w:p w:rsidR="00FD7EC2" w:rsidRPr="00D07716" w:rsidRDefault="00710D49"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rsidR="00FD7EC2" w:rsidRPr="00D07716" w:rsidRDefault="00FD7EC2" w:rsidP="008A1EBD">
      <w:pPr>
        <w:pStyle w:val="NoSpacing"/>
        <w:rPr>
          <w:rFonts w:ascii="Arial" w:eastAsiaTheme="minorEastAsia" w:hAnsi="Arial" w:cs="Arial"/>
          <w:lang w:val="es-MX"/>
        </w:rPr>
      </w:pPr>
    </w:p>
    <w:p w:rsidR="00FD7EC2" w:rsidRPr="00D07716" w:rsidRDefault="00710D49"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rsidR="00FD7EC2" w:rsidRPr="00D07716" w:rsidRDefault="00710D49"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rsidR="00462EA2" w:rsidRPr="00D07716" w:rsidRDefault="00710D49"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rsidR="00462EA2" w:rsidRPr="00D07716" w:rsidRDefault="00462EA2" w:rsidP="008A1EBD">
      <w:pPr>
        <w:pStyle w:val="NoSpacing"/>
        <w:rPr>
          <w:rFonts w:ascii="Arial" w:eastAsiaTheme="minorEastAsia" w:hAnsi="Arial" w:cs="Arial"/>
          <w:lang w:val="es-MX"/>
        </w:rPr>
      </w:pPr>
    </w:p>
    <w:p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rsidR="00462EA2" w:rsidRPr="00D07716" w:rsidRDefault="00462EA2" w:rsidP="008A1EBD">
      <w:pPr>
        <w:pStyle w:val="NoSpacing"/>
        <w:rPr>
          <w:rFonts w:ascii="Arial" w:eastAsiaTheme="minorEastAsia" w:hAnsi="Arial" w:cs="Arial"/>
          <w:lang w:val="es-MX"/>
        </w:rPr>
      </w:pPr>
    </w:p>
    <w:p w:rsidR="00462EA2" w:rsidRPr="00D07716" w:rsidRDefault="00710D49"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rsidR="00462EA2" w:rsidRPr="00D07716" w:rsidRDefault="00462EA2" w:rsidP="008A1EBD">
      <w:pPr>
        <w:pStyle w:val="NoSpacing"/>
        <w:rPr>
          <w:rFonts w:ascii="Arial" w:eastAsiaTheme="minorEastAsia" w:hAnsi="Arial" w:cs="Arial"/>
          <w:lang w:val="es-MX"/>
        </w:rPr>
      </w:pPr>
    </w:p>
    <w:p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o:ole="">
            <v:imagedata r:id="rId7" o:title=""/>
          </v:shape>
          <o:OLEObject Type="Embed" ProgID="Equation.3" ShapeID="_x0000_i1025" DrawAspect="Content" ObjectID="_1400601030" r:id="rId8"/>
        </w:object>
      </w:r>
    </w:p>
    <w:p w:rsidR="00462EA2" w:rsidRPr="00D07716" w:rsidRDefault="00462EA2" w:rsidP="00462EA2">
      <w:pPr>
        <w:pStyle w:val="NoSpacing"/>
        <w:rPr>
          <w:rFonts w:ascii="Arial" w:eastAsiaTheme="minorEastAsia" w:hAnsi="Arial" w:cs="Arial"/>
        </w:rPr>
      </w:pPr>
    </w:p>
    <w:p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v:shape id="_x0000_i1026" type="#_x0000_t75" style="width:150pt;height:90pt" o:ole="">
            <v:imagedata r:id="rId9" o:title=""/>
          </v:shape>
          <o:OLEObject Type="Embed" ProgID="Equation.3" ShapeID="_x0000_i1026" DrawAspect="Content" ObjectID="_1400601031" r:id="rId10"/>
        </w:object>
      </w:r>
    </w:p>
    <w:p w:rsidR="00462EA2" w:rsidRPr="00D07716" w:rsidRDefault="00462EA2" w:rsidP="00462EA2">
      <w:pPr>
        <w:pStyle w:val="NoSpacing"/>
        <w:rPr>
          <w:rFonts w:ascii="Arial" w:eastAsiaTheme="minorEastAsia" w:hAnsi="Arial" w:cs="Arial"/>
        </w:rPr>
      </w:pPr>
    </w:p>
    <w:p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v:shape id="_x0000_i1027" type="#_x0000_t75" style="width:46.5pt;height:1in" o:ole="">
            <v:imagedata r:id="rId11" o:title=""/>
          </v:shape>
          <o:OLEObject Type="Embed" ProgID="Equation.3" ShapeID="_x0000_i1027" DrawAspect="Content" ObjectID="_1400601032" r:id="rId12"/>
        </w:object>
      </w:r>
    </w:p>
    <w:p w:rsidR="00462EA2" w:rsidRPr="00D07716" w:rsidRDefault="00462EA2" w:rsidP="008A1EBD">
      <w:pPr>
        <w:pStyle w:val="NoSpacing"/>
        <w:rPr>
          <w:rFonts w:ascii="Arial" w:eastAsiaTheme="minorEastAsia" w:hAnsi="Arial" w:cs="Arial"/>
          <w:lang w:val="es-MX"/>
        </w:rPr>
      </w:pPr>
    </w:p>
    <w:p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rsidR="006D3B1E" w:rsidRPr="00D07716" w:rsidRDefault="006D3B1E" w:rsidP="008A1EBD">
      <w:pPr>
        <w:pStyle w:val="NoSpacing"/>
        <w:rPr>
          <w:rFonts w:ascii="Arial" w:eastAsiaTheme="minorEastAsia" w:hAnsi="Arial" w:cs="Arial"/>
          <w:lang w:val="es-MX"/>
        </w:rPr>
      </w:pPr>
    </w:p>
    <w:p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rsidR="00FD59E5" w:rsidRPr="00B0391F" w:rsidRDefault="00FD59E5" w:rsidP="00FD59E5">
      <w:pPr>
        <w:pStyle w:val="NoSpacing"/>
        <w:rPr>
          <w:rFonts w:ascii="Arial" w:eastAsiaTheme="minorEastAsia" w:hAnsi="Arial" w:cs="Arial"/>
          <w:lang w:val="es-MX"/>
        </w:rPr>
      </w:pPr>
    </w:p>
    <w:p w:rsidR="00FD59E5" w:rsidRPr="00B0391F" w:rsidRDefault="00FD59E5" w:rsidP="00FD59E5">
      <w:pPr>
        <w:pStyle w:val="NoSpacing"/>
        <w:rPr>
          <w:rFonts w:ascii="Arial" w:eastAsiaTheme="minorEastAsia" w:hAnsi="Arial" w:cs="Arial"/>
          <w:lang w:val="es-MX"/>
        </w:rPr>
      </w:pPr>
    </w:p>
    <w:p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rsidR="00FD59E5" w:rsidRPr="00D07716" w:rsidRDefault="00FD59E5" w:rsidP="00FD59E5">
      <w:pPr>
        <w:pStyle w:val="NoSpacing"/>
        <w:rPr>
          <w:rFonts w:ascii="Arial" w:eastAsiaTheme="minorEastAsia" w:hAnsi="Arial" w:cs="Arial"/>
          <w:lang w:val="es-MX"/>
        </w:rPr>
      </w:pPr>
    </w:p>
    <w:p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rsidR="006F071E" w:rsidRPr="00D07716" w:rsidRDefault="006F071E" w:rsidP="008A1EBD">
      <w:pPr>
        <w:pStyle w:val="NoSpacing"/>
        <w:rPr>
          <w:rFonts w:ascii="Arial" w:eastAsiaTheme="minorEastAsia" w:hAnsi="Arial" w:cs="Arial"/>
          <w:lang w:val="es-MX"/>
        </w:rPr>
      </w:pPr>
    </w:p>
    <w:p w:rsidR="006F071E" w:rsidRPr="00D07716" w:rsidRDefault="00710D49"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rsidR="006F071E" w:rsidRPr="00D07716" w:rsidRDefault="006F071E" w:rsidP="008A1EBD">
      <w:pPr>
        <w:pStyle w:val="NoSpacing"/>
        <w:rPr>
          <w:rFonts w:ascii="Arial" w:eastAsiaTheme="minorEastAsia" w:hAnsi="Arial" w:cs="Arial"/>
          <w:lang w:val="es-MX"/>
        </w:rPr>
      </w:pPr>
    </w:p>
    <w:p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rsidR="00D07716" w:rsidRPr="00D07716" w:rsidRDefault="00D07716" w:rsidP="00D07716">
      <w:pPr>
        <w:pStyle w:val="NoSpacing"/>
        <w:rPr>
          <w:rFonts w:ascii="Arial" w:eastAsiaTheme="minorEastAsia" w:hAnsi="Arial" w:cs="Arial"/>
          <w:lang w:val="es-MX"/>
        </w:rPr>
      </w:pPr>
    </w:p>
    <w:p w:rsidR="00D07716" w:rsidRPr="00D07716" w:rsidRDefault="00D07716" w:rsidP="00D07716">
      <w:pPr>
        <w:pStyle w:val="NoSpacing"/>
        <w:rPr>
          <w:rFonts w:ascii="Arial" w:eastAsiaTheme="minorEastAsia" w:hAnsi="Arial" w:cs="Arial"/>
          <w:lang w:val="es-MX"/>
        </w:rPr>
      </w:pPr>
    </w:p>
    <w:p w:rsidR="00D07716" w:rsidRPr="00522A3C" w:rsidRDefault="00710D49"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rsidR="00D07716" w:rsidRPr="00D07716" w:rsidRDefault="00D07716" w:rsidP="00D07716">
      <w:pPr>
        <w:pStyle w:val="NoSpacing"/>
        <w:rPr>
          <w:rFonts w:ascii="Arial" w:eastAsiaTheme="minorEastAsia" w:hAnsi="Arial" w:cs="Arial"/>
          <w:lang w:val="es-MX"/>
        </w:rPr>
      </w:pPr>
    </w:p>
    <w:p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rsidR="00522A3C" w:rsidRPr="00D07716" w:rsidRDefault="00522A3C" w:rsidP="00D07716">
      <w:pPr>
        <w:pStyle w:val="NoSpacing"/>
        <w:rPr>
          <w:rFonts w:ascii="Arial" w:eastAsiaTheme="minorEastAsia" w:hAnsi="Arial" w:cs="Arial"/>
          <w:lang w:val="es-MX"/>
        </w:rPr>
      </w:pPr>
    </w:p>
    <w:p w:rsidR="00D07716" w:rsidRPr="00D07716" w:rsidRDefault="00710D49"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rsidR="00D07716" w:rsidRDefault="00D07716" w:rsidP="00D07716">
      <w:pPr>
        <w:pStyle w:val="NoSpacing"/>
        <w:rPr>
          <w:rFonts w:ascii="Arial" w:eastAsiaTheme="minorEastAsia" w:hAnsi="Arial" w:cs="Arial"/>
          <w:lang w:val="es-MX"/>
        </w:rPr>
      </w:pPr>
    </w:p>
    <w:p w:rsidR="00D07716" w:rsidRPr="00D07716" w:rsidRDefault="00710D49"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rsidR="00D07716" w:rsidRPr="00D07716" w:rsidRDefault="00D07716" w:rsidP="00D07716">
      <w:pPr>
        <w:pStyle w:val="NoSpacing"/>
        <w:rPr>
          <w:rFonts w:ascii="Arial" w:eastAsiaTheme="minorEastAsia" w:hAnsi="Arial" w:cs="Arial"/>
          <w:i/>
          <w:lang w:val="es-MX"/>
        </w:rPr>
      </w:pPr>
    </w:p>
    <w:p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rsidR="00D07716" w:rsidRDefault="00D07716" w:rsidP="00D07716">
      <w:pPr>
        <w:pStyle w:val="NoSpacing"/>
        <w:rPr>
          <w:rFonts w:ascii="Arial" w:hAnsi="Arial" w:cs="Arial"/>
          <w:lang w:val="es-MX"/>
        </w:rPr>
      </w:pPr>
    </w:p>
    <w:p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r w:rsidR="002D0123">
        <w:rPr>
          <w:rFonts w:ascii="Arial" w:eastAsiaTheme="minorEastAsia" w:hAnsi="Arial" w:cs="Arial"/>
          <w:lang w:val="es-MX"/>
        </w:rPr>
        <w:t xml:space="preserve"> y corrección del error</w:t>
      </w:r>
      <w:r w:rsidR="00B7124B">
        <w:rPr>
          <w:rFonts w:ascii="Arial" w:eastAsiaTheme="minorEastAsia" w:hAnsi="Arial" w:cs="Arial"/>
          <w:lang w:val="es-MX"/>
        </w:rPr>
        <w:t>.</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w:t>
      </w:r>
      <w:r w:rsidR="002D0123">
        <w:rPr>
          <w:rFonts w:ascii="Arial" w:eastAsiaTheme="minorEastAsia" w:hAnsi="Arial" w:cs="Arial"/>
          <w:lang w:val="es-MX"/>
        </w:rPr>
        <w:t xml:space="preserve"> estos </w:t>
      </w:r>
      <w:r>
        <w:rPr>
          <w:rFonts w:ascii="Arial" w:eastAsiaTheme="minorEastAsia" w:hAnsi="Arial" w:cs="Arial"/>
          <w:lang w:val="es-MX"/>
        </w:rPr>
        <w:t>dos conceptos importantes que formalizan las ideas expresadas anteriormente:</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lastRenderedPageBreak/>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rsidR="00B7124B" w:rsidRDefault="00B7124B" w:rsidP="00D07716">
      <w:pPr>
        <w:pStyle w:val="NoSpacing"/>
        <w:rPr>
          <w:rFonts w:ascii="Arial" w:eastAsiaTheme="minorEastAsia" w:hAnsi="Arial" w:cs="Arial"/>
          <w:lang w:val="es-MX"/>
        </w:rPr>
      </w:pPr>
    </w:p>
    <w:p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rsidR="00522A3C" w:rsidRPr="008D59B9" w:rsidRDefault="00522A3C" w:rsidP="00522A3C">
      <w:pPr>
        <w:pStyle w:val="NoSpacing"/>
        <w:rPr>
          <w:rFonts w:ascii="Arial" w:eastAsiaTheme="minorEastAsia"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rsidR="00522A3C" w:rsidRPr="00B0391F" w:rsidRDefault="00522A3C" w:rsidP="00D07716">
      <w:pPr>
        <w:pStyle w:val="NoSpacing"/>
        <w:rPr>
          <w:rFonts w:ascii="Arial" w:eastAsiaTheme="minorEastAsia" w:hAnsi="Arial" w:cs="Arial"/>
        </w:rPr>
      </w:pPr>
    </w:p>
    <w:p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rsidR="00522A3C" w:rsidRPr="008D59B9" w:rsidRDefault="00522A3C" w:rsidP="00D07716">
      <w:pPr>
        <w:pStyle w:val="NoSpacing"/>
        <w:rPr>
          <w:rFonts w:ascii="Arial" w:eastAsiaTheme="minorEastAsia" w:hAnsi="Arial" w:cs="Arial"/>
          <w:lang w:val="es-MX"/>
        </w:rPr>
      </w:pPr>
    </w:p>
    <w:p w:rsidR="00522A3C" w:rsidRPr="008D59B9" w:rsidRDefault="00710D49"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rsidR="00522A3C" w:rsidRPr="008D59B9" w:rsidRDefault="00522A3C" w:rsidP="00D07716">
      <w:pPr>
        <w:pStyle w:val="NoSpacing"/>
        <w:rPr>
          <w:rFonts w:ascii="Arial" w:eastAsiaTheme="minorEastAsia" w:hAnsi="Arial" w:cs="Arial"/>
          <w:lang w:val="es-MX"/>
        </w:rPr>
      </w:pPr>
    </w:p>
    <w:p w:rsidR="00350A18" w:rsidRPr="008D59B9" w:rsidRDefault="00710D49"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rsidR="008D59B9" w:rsidRDefault="008D59B9" w:rsidP="00D07716">
      <w:pPr>
        <w:pStyle w:val="NoSpacing"/>
        <w:rPr>
          <w:rFonts w:ascii="Arial" w:eastAsiaTheme="minorEastAsia" w:hAnsi="Arial" w:cs="Arial"/>
          <w:lang w:val="es-MX"/>
        </w:rPr>
      </w:pPr>
    </w:p>
    <w:p w:rsidR="008D59B9" w:rsidRDefault="00710D49"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rsidR="008D59B9" w:rsidRDefault="008D59B9" w:rsidP="00D07716">
      <w:pPr>
        <w:pStyle w:val="NoSpacing"/>
        <w:rPr>
          <w:rFonts w:ascii="Arial" w:eastAsiaTheme="minorEastAsia" w:hAnsi="Arial" w:cs="Arial"/>
          <w:lang w:val="es-MX"/>
        </w:rPr>
      </w:pPr>
    </w:p>
    <w:p w:rsidR="008D59B9" w:rsidRPr="008D59B9" w:rsidRDefault="00710D49"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rsidR="00CC50E8" w:rsidRDefault="00CC50E8" w:rsidP="00D07716">
      <w:pPr>
        <w:pStyle w:val="NoSpacing"/>
        <w:rPr>
          <w:rFonts w:ascii="Arial" w:eastAsiaTheme="minorEastAsia" w:hAnsi="Arial" w:cs="Arial"/>
          <w:lang w:val="es-MX"/>
        </w:rPr>
      </w:pPr>
    </w:p>
    <w:p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rsidR="00CC50E8" w:rsidRPr="00CC50E8" w:rsidRDefault="00CC50E8" w:rsidP="00D07716">
      <w:pPr>
        <w:pStyle w:val="NoSpacing"/>
        <w:rPr>
          <w:rFonts w:ascii="Arial" w:eastAsiaTheme="minorEastAsia" w:hAnsi="Arial" w:cs="Arial"/>
          <w:lang w:val="es-MX"/>
        </w:rPr>
      </w:pPr>
    </w:p>
    <w:p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rsidR="00CC50E8" w:rsidRDefault="00CC50E8" w:rsidP="00CC50E8">
      <w:pPr>
        <w:pStyle w:val="ListParagraph"/>
        <w:rPr>
          <w:rFonts w:ascii="Arial" w:eastAsiaTheme="minorEastAsia" w:hAnsi="Arial" w:cs="Arial"/>
          <w:lang w:val="es-MX"/>
        </w:rPr>
      </w:pPr>
    </w:p>
    <w:p w:rsidR="00CC50E8" w:rsidRPr="00CC50E8" w:rsidRDefault="00CC50E8" w:rsidP="00CC50E8">
      <w:pPr>
        <w:pStyle w:val="NoSpacing"/>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integradas y cointegradas,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bastante conveniente</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w:t>
      </w:r>
      <w:r w:rsidR="007056DA">
        <w:rPr>
          <w:rFonts w:ascii="Arial" w:hAnsi="Arial" w:cs="Arial"/>
          <w:lang w:val="es-MX"/>
        </w:rPr>
        <w:t>amiento apropiado de predicción, no sin antes detallar en qué consiste la técnica de PLS.</w:t>
      </w:r>
      <w:r w:rsidR="00B22482">
        <w:rPr>
          <w:rFonts w:ascii="Arial" w:hAnsi="Arial" w:cs="Arial"/>
          <w:lang w:val="es-MX"/>
        </w:rPr>
        <w:t xml:space="preserve"> </w:t>
      </w:r>
    </w:p>
    <w:p w:rsidR="00CC50E8" w:rsidRDefault="00CC50E8" w:rsidP="00CC50E8">
      <w:pPr>
        <w:pStyle w:val="NoSpacing"/>
        <w:rPr>
          <w:rFonts w:ascii="Arial" w:eastAsiaTheme="minorEastAsia" w:hAnsi="Arial" w:cs="Arial"/>
          <w:b/>
          <w:lang w:val="es-MX"/>
        </w:rPr>
      </w:pPr>
    </w:p>
    <w:p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rsidR="00570C90" w:rsidRPr="00B0391F" w:rsidRDefault="00570C90" w:rsidP="00570C90">
      <w:pPr>
        <w:pStyle w:val="NoSpacing"/>
        <w:rPr>
          <w:rFonts w:ascii="Arial" w:eastAsiaTheme="minorEastAsia" w:hAnsi="Arial" w:cs="Arial"/>
          <w:sz w:val="20"/>
          <w:szCs w:val="20"/>
          <w:lang w:val="es-MX"/>
        </w:rPr>
      </w:pPr>
    </w:p>
    <w:p w:rsidR="00570C90" w:rsidRDefault="00570C90" w:rsidP="00570C90">
      <w:pPr>
        <w:pStyle w:val="NoSpacing"/>
        <w:rPr>
          <w:rFonts w:ascii="Arial" w:eastAsiaTheme="minorEastAsia" w:hAnsi="Arial" w:cs="Arial"/>
          <w:lang w:val="es-MX"/>
        </w:rPr>
      </w:pPr>
      <w:r>
        <w:rPr>
          <w:rFonts w:ascii="Arial" w:eastAsiaTheme="minorEastAsia" w:hAnsi="Arial" w:cs="Arial"/>
          <w:lang w:val="es-MX"/>
        </w:rPr>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7056DA">
        <w:rPr>
          <w:rFonts w:ascii="Arial" w:eastAsiaTheme="minorEastAsia" w:hAnsi="Arial" w:cs="Arial"/>
          <w:lang w:val="es-MX"/>
        </w:rPr>
        <w:t>ticas y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B22482">
        <w:rPr>
          <w:rFonts w:ascii="Arial" w:eastAsiaTheme="minorEastAsia" w:hAnsi="Arial" w:cs="Arial"/>
          <w:lang w:val="es-MX"/>
        </w:rPr>
        <w:t xml:space="preserve">(expresión 5)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w:t>
      </w:r>
      <w:r w:rsidR="007056DA">
        <w:rPr>
          <w:rFonts w:ascii="Arial" w:eastAsiaTheme="minorEastAsia" w:hAnsi="Arial" w:cs="Arial"/>
          <w:lang w:val="es-MX"/>
        </w:rPr>
        <w:t xml:space="preserve">generalizado </w:t>
      </w:r>
      <w:r w:rsidR="00B22482">
        <w:rPr>
          <w:rFonts w:ascii="Arial" w:eastAsiaTheme="minorEastAsia" w:hAnsi="Arial" w:cs="Arial"/>
          <w:lang w:val="es-MX"/>
        </w:rPr>
        <w:t>de la forma clásica:</w:t>
      </w:r>
    </w:p>
    <w:p w:rsidR="00B22482" w:rsidRDefault="00B22482" w:rsidP="00570C90">
      <w:pPr>
        <w:pStyle w:val="NoSpacing"/>
        <w:rPr>
          <w:rFonts w:ascii="Arial" w:eastAsiaTheme="minorEastAsia" w:hAnsi="Arial" w:cs="Arial"/>
          <w:lang w:val="es-MX"/>
        </w:rPr>
      </w:pPr>
    </w:p>
    <w:p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w:lastRenderedPageBreak/>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rsidR="00B22482" w:rsidRPr="00B22482" w:rsidRDefault="00B22482" w:rsidP="00B22482">
      <w:pPr>
        <w:pStyle w:val="NoSpacing"/>
        <w:rPr>
          <w:rFonts w:ascii="Arial" w:eastAsiaTheme="minorEastAsia" w:hAnsi="Arial" w:cs="Arial"/>
          <w:szCs w:val="20"/>
          <w:lang w:val="es-MX"/>
        </w:rPr>
      </w:pPr>
    </w:p>
    <w:p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rsidR="00B22482" w:rsidRDefault="00B22482" w:rsidP="00570C90">
      <w:pPr>
        <w:pStyle w:val="NoSpacing"/>
        <w:rPr>
          <w:rFonts w:ascii="Arial" w:eastAsiaTheme="minorEastAsia" w:hAnsi="Arial" w:cs="Arial"/>
          <w:lang w:val="es-MX"/>
        </w:rPr>
      </w:pPr>
    </w:p>
    <w:p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w:t>
      </w:r>
      <w:r w:rsidR="007056DA">
        <w:rPr>
          <w:rFonts w:ascii="Arial" w:eastAsiaTheme="minorEastAsia" w:hAnsi="Arial" w:cs="Arial"/>
          <w:lang w:val="es-MX"/>
        </w:rPr>
        <w:t xml:space="preserve">lo que </w:t>
      </w:r>
      <w:r>
        <w:rPr>
          <w:rFonts w:ascii="Arial" w:eastAsiaTheme="minorEastAsia" w:hAnsi="Arial" w:cs="Arial"/>
          <w:lang w:val="es-MX"/>
        </w:rPr>
        <w:t xml:space="preserve">lleva consigo un proceso </w:t>
      </w:r>
      <w:r w:rsidR="007056DA">
        <w:rPr>
          <w:rFonts w:ascii="Arial" w:eastAsiaTheme="minorEastAsia" w:hAnsi="Arial" w:cs="Arial"/>
          <w:lang w:val="es-MX"/>
        </w:rPr>
        <w:t xml:space="preserve">de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rsidR="00570C90" w:rsidRDefault="00570C90" w:rsidP="00570C90">
      <w:pPr>
        <w:pStyle w:val="NoSpacing"/>
        <w:rPr>
          <w:rFonts w:ascii="Arial" w:eastAsiaTheme="minorEastAsia" w:hAnsi="Arial" w:cs="Arial"/>
          <w:lang w:val="es-MX"/>
        </w:rPr>
      </w:pPr>
    </w:p>
    <w:p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De esta forma, 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w:t>
      </w:r>
      <w:r w:rsidR="007056DA">
        <w:rPr>
          <w:rFonts w:ascii="Arial" w:eastAsiaTheme="minorEastAsia" w:hAnsi="Arial" w:cs="Arial"/>
          <w:lang w:val="es-MX"/>
        </w:rPr>
        <w:t>igno sino la maximización.</w:t>
      </w:r>
      <w:r w:rsidRPr="00570C90">
        <w:rPr>
          <w:rFonts w:ascii="Arial" w:eastAsiaTheme="minorEastAsia" w:hAnsi="Arial" w:cs="Arial"/>
          <w:lang w:val="es-MX"/>
        </w:rPr>
        <w:t xml:space="preserve">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007056DA">
        <w:rPr>
          <w:rFonts w:ascii="Arial" w:eastAsiaTheme="minorEastAsia" w:hAnsi="Arial" w:cs="Arial"/>
          <w:lang w:val="es-MX"/>
        </w:rPr>
        <w:t xml:space="preserve"> entonces s</w:t>
      </w:r>
      <w:r w:rsidRPr="00570C90">
        <w:rPr>
          <w:rFonts w:ascii="Arial" w:eastAsiaTheme="minorEastAsia" w:hAnsi="Arial" w:cs="Arial"/>
          <w:lang w:val="es-MX"/>
        </w:rPr>
        <w:t>e asegura que cada una de las direcciones enco</w:t>
      </w:r>
      <w:r w:rsidR="007056DA">
        <w:rPr>
          <w:rFonts w:ascii="Arial" w:eastAsiaTheme="minorEastAsia" w:hAnsi="Arial" w:cs="Arial"/>
          <w:lang w:val="es-MX"/>
        </w:rPr>
        <w:t>ntradas está descorrelacionadas y:</w:t>
      </w:r>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rsidR="00570C90" w:rsidRPr="00570C90" w:rsidRDefault="00570C90" w:rsidP="00570C90">
      <w:pPr>
        <w:pStyle w:val="NoSpacing"/>
        <w:rPr>
          <w:rFonts w:ascii="Arial" w:eastAsiaTheme="minorEastAsia" w:hAnsi="Arial" w:cs="Arial"/>
          <w:lang w:val="es-MX"/>
        </w:rPr>
      </w:pPr>
    </w:p>
    <w:p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Siendo é</w:t>
      </w:r>
      <w:r w:rsidR="00AA3CBB">
        <w:rPr>
          <w:rFonts w:ascii="Arial" w:eastAsiaTheme="minorEastAsia" w:hAnsi="Arial" w:cs="Arial"/>
          <w:lang w:val="es-MX"/>
        </w:rPr>
        <w:t xml:space="preserve">sta la versión que tradicionalmente se maneja en la literatura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rsidR="00570C90" w:rsidRPr="00570C90" w:rsidRDefault="00570C90" w:rsidP="00570C90">
      <w:pPr>
        <w:pStyle w:val="NoSpacing"/>
        <w:rPr>
          <w:rFonts w:ascii="Arial" w:eastAsiaTheme="minorEastAsia" w:hAnsi="Arial" w:cs="Arial"/>
          <w:lang w:val="es-MX"/>
        </w:rPr>
      </w:pPr>
    </w:p>
    <w:p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Continuando con el problema,</w:t>
      </w:r>
      <w:r w:rsidR="00CB069E">
        <w:rPr>
          <w:rFonts w:ascii="Arial" w:eastAsiaTheme="minorEastAsia" w:hAnsi="Arial" w:cs="Arial"/>
          <w:lang w:val="es-MX"/>
        </w:rPr>
        <w:t xml:space="preserve"> maximizando (14)</w:t>
      </w:r>
      <w:r>
        <w:rPr>
          <w:rFonts w:ascii="Arial" w:eastAsiaTheme="minorEastAsia" w:hAnsi="Arial" w:cs="Arial"/>
          <w:lang w:val="es-MX"/>
        </w:rPr>
        <w:t xml:space="preserve"> obtenemos: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rsidR="00570C90" w:rsidRPr="00570C90" w:rsidRDefault="00570C90" w:rsidP="00570C90">
      <w:pPr>
        <w:pStyle w:val="NoSpacing"/>
        <w:rPr>
          <w:rFonts w:ascii="Arial" w:eastAsiaTheme="minorEastAsia" w:hAnsi="Arial" w:cs="Arial"/>
          <w:lang w:val="es-MX"/>
        </w:rPr>
      </w:pPr>
    </w:p>
    <w:p w:rsidR="00570C90" w:rsidRPr="00CB069E" w:rsidRDefault="00710D49"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rsidR="00570C90" w:rsidRPr="00CB069E" w:rsidRDefault="00710D49"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lastRenderedPageBreak/>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w:t>
      </w:r>
      <w:r w:rsidR="007056DA">
        <w:rPr>
          <w:rFonts w:ascii="Arial" w:eastAsiaTheme="minorEastAsia" w:hAnsi="Arial" w:cs="Arial"/>
          <w:lang w:val="es-MX"/>
        </w:rPr>
        <w:t xml:space="preserve"> evaluado</w:t>
      </w:r>
      <w:r w:rsidRPr="00570C90">
        <w:rPr>
          <w:rFonts w:ascii="Arial" w:eastAsiaTheme="minorEastAsia" w:hAnsi="Arial" w:cs="Arial"/>
          <w:lang w:val="es-MX"/>
        </w:rPr>
        <w:t xml:space="preserve"> en la segunda ecuación de primer orden tenemos que:</w:t>
      </w:r>
    </w:p>
    <w:p w:rsidR="00570C90" w:rsidRPr="00570C90" w:rsidRDefault="00570C90" w:rsidP="00570C90">
      <w:pPr>
        <w:pStyle w:val="NoSpacing"/>
        <w:rPr>
          <w:rFonts w:ascii="Arial" w:eastAsiaTheme="minorEastAsia" w:hAnsi="Arial" w:cs="Arial"/>
          <w:lang w:val="es-MX"/>
        </w:rPr>
      </w:pPr>
    </w:p>
    <w:p w:rsidR="00570C90" w:rsidRPr="00CB069E"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Y lo anterior</w:t>
      </w:r>
      <w:r w:rsidR="00570C90" w:rsidRPr="00570C90">
        <w:rPr>
          <w:rFonts w:ascii="Arial" w:eastAsiaTheme="minorEastAsia" w:hAnsi="Arial" w:cs="Arial"/>
          <w:lang w:val="es-MX"/>
        </w:rPr>
        <w:t xml:space="preserve"> a la primera ecuación de primer orden:</w:t>
      </w:r>
    </w:p>
    <w:p w:rsidR="00570C90" w:rsidRPr="00570C90" w:rsidRDefault="00570C90" w:rsidP="00570C90">
      <w:pPr>
        <w:pStyle w:val="NoSpacing"/>
        <w:rPr>
          <w:rFonts w:ascii="Arial" w:eastAsiaTheme="minorEastAsia" w:hAnsi="Arial" w:cs="Arial"/>
          <w:lang w:val="es-MX"/>
        </w:rPr>
      </w:pPr>
    </w:p>
    <w:p w:rsidR="00570C90" w:rsidRPr="00CB069E" w:rsidRDefault="00710D49"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Evaluando e</w:t>
      </w:r>
      <w:r w:rsidR="00570C90" w:rsidRPr="00570C90">
        <w:rPr>
          <w:rFonts w:ascii="Arial" w:eastAsiaTheme="minorEastAsia" w:hAnsi="Arial" w:cs="Arial"/>
          <w:lang w:val="es-MX"/>
        </w:rPr>
        <w:t xml:space="preserv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tenemos que:</w:t>
      </w:r>
    </w:p>
    <w:p w:rsidR="00570C90" w:rsidRPr="00570C90" w:rsidRDefault="00570C90" w:rsidP="00570C90">
      <w:pPr>
        <w:pStyle w:val="NoSpacing"/>
        <w:rPr>
          <w:rFonts w:ascii="Arial" w:eastAsiaTheme="minorEastAsia" w:hAnsi="Arial" w:cs="Arial"/>
          <w:lang w:val="es-MX"/>
        </w:rPr>
      </w:pPr>
    </w:p>
    <w:p w:rsidR="00570C90" w:rsidRPr="00570C90"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7056DA" w:rsidRPr="00570C90" w:rsidRDefault="00570C90" w:rsidP="007056DA">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r w:rsidR="007056DA">
        <w:rPr>
          <w:rFonts w:ascii="Arial" w:eastAsiaTheme="minorEastAsia" w:hAnsi="Arial" w:cs="Arial"/>
          <w:lang w:val="es-MX"/>
        </w:rPr>
        <w:t xml:space="preserve"> y</w:t>
      </w:r>
      <w:r w:rsidR="007056DA" w:rsidRPr="00570C90">
        <w:rPr>
          <w:rFonts w:ascii="Arial" w:eastAsiaTheme="minorEastAsia" w:hAnsi="Arial" w:cs="Arial"/>
          <w:lang w:val="es-MX"/>
        </w:rPr>
        <w:t xml:space="preserve"> </w:t>
      </w:r>
      <m:oMath>
        <m:r>
          <w:rPr>
            <w:rFonts w:ascii="Cambria Math" w:eastAsiaTheme="minorEastAsia" w:hAnsi="Cambria Math" w:cs="Arial"/>
            <w:lang w:val="es-MX"/>
          </w:rPr>
          <m:t>w</m:t>
        </m:r>
      </m:oMath>
      <w:r w:rsidR="007056DA">
        <w:rPr>
          <w:rFonts w:ascii="Arial" w:eastAsiaTheme="minorEastAsia" w:hAnsi="Arial" w:cs="Arial"/>
          <w:lang w:val="es-MX"/>
        </w:rPr>
        <w:t xml:space="preserve"> </w:t>
      </w:r>
      <w:r w:rsidR="007056DA" w:rsidRPr="00570C90">
        <w:rPr>
          <w:rFonts w:ascii="Arial" w:eastAsiaTheme="minorEastAsia" w:hAnsi="Arial" w:cs="Arial"/>
          <w:lang w:val="es-MX"/>
        </w:rPr>
        <w:t>el vector propio</w:t>
      </w:r>
    </w:p>
    <w:p w:rsidR="00570C90" w:rsidRPr="00570C90" w:rsidRDefault="00570C90" w:rsidP="00570C90">
      <w:pPr>
        <w:pStyle w:val="NoSpacing"/>
        <w:rPr>
          <w:rFonts w:ascii="Arial" w:eastAsiaTheme="minorEastAsia" w:hAnsi="Arial" w:cs="Arial"/>
          <w:lang w:val="es-MX"/>
        </w:rPr>
      </w:pPr>
    </w:p>
    <w:p w:rsidR="007056DA"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r w:rsidR="007056DA">
        <w:rPr>
          <w:rFonts w:ascii="Arial" w:eastAsiaTheme="minorEastAsia" w:hAnsi="Arial" w:cs="Arial"/>
          <w:lang w:val="es-MX"/>
        </w:rPr>
        <w:t>:</w:t>
      </w:r>
    </w:p>
    <w:p w:rsidR="00570C90" w:rsidRPr="00CB069E" w:rsidRDefault="00570C90" w:rsidP="00570C90">
      <w:pPr>
        <w:pStyle w:val="NoSpacing"/>
        <w:rPr>
          <w:rFonts w:ascii="Arial" w:eastAsiaTheme="minorEastAsia" w:hAnsi="Arial" w:cs="Arial"/>
          <w:lang w:val="es-MX"/>
        </w:rPr>
      </w:pPr>
    </w:p>
    <w:p w:rsidR="00570C90" w:rsidRPr="00CB069E" w:rsidRDefault="00710D49"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rsidR="00570C90" w:rsidRPr="00B0391F" w:rsidRDefault="00570C90" w:rsidP="00570C90">
      <w:pPr>
        <w:pStyle w:val="NoSpacing"/>
        <w:jc w:val="center"/>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rsidR="00570C90" w:rsidRPr="00570C90" w:rsidRDefault="00570C90" w:rsidP="00570C90">
      <w:pPr>
        <w:pStyle w:val="NoSpacing"/>
        <w:rPr>
          <w:rFonts w:ascii="Arial" w:eastAsiaTheme="minorEastAsia" w:hAnsi="Arial" w:cs="Arial"/>
          <w:lang w:val="es-MX"/>
        </w:rPr>
      </w:pPr>
    </w:p>
    <w:p w:rsidR="00570C90" w:rsidRPr="00CB069E" w:rsidRDefault="00710D49"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710D49"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i/>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Este proceso se repite hasta que </w:t>
      </w: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oMath>
      <w:r w:rsidRPr="00570C90">
        <w:rPr>
          <w:rFonts w:ascii="Arial" w:eastAsiaTheme="minorEastAsia" w:hAnsi="Arial" w:cs="Arial"/>
          <w:lang w:val="es-MX"/>
        </w:rPr>
        <w:t xml:space="preserve"> y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=0</m:t>
        </m:r>
      </m:oMath>
    </w:p>
    <w:p w:rsidR="00CB069E" w:rsidRDefault="00CB069E"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lastRenderedPageBreak/>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rsidR="00B657DC" w:rsidRDefault="00CB069E" w:rsidP="00570C90">
      <w:pPr>
        <w:pStyle w:val="NoSpacing"/>
        <w:rPr>
          <w:rFonts w:ascii="Arial" w:eastAsiaTheme="minorEastAsia" w:hAnsi="Arial" w:cs="Arial"/>
          <w:lang w:val="es-MX"/>
        </w:rPr>
      </w:pPr>
      <w:r>
        <w:rPr>
          <w:rFonts w:ascii="Arial" w:eastAsiaTheme="minorEastAsia" w:hAnsi="Arial" w:cs="Arial"/>
          <w:lang w:val="es-MX"/>
        </w:rPr>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rsidR="00AA3CBB" w:rsidRDefault="00AA3CBB" w:rsidP="00570C90">
      <w:pPr>
        <w:pStyle w:val="NoSpacing"/>
        <w:rPr>
          <w:rFonts w:ascii="Arial" w:eastAsiaTheme="minorEastAsia" w:hAnsi="Arial" w:cs="Arial"/>
          <w:b/>
          <w:sz w:val="24"/>
          <w:lang w:val="es-MX"/>
        </w:rPr>
      </w:pPr>
    </w:p>
    <w:p w:rsidR="007056DA" w:rsidRPr="007056DA" w:rsidRDefault="007056DA" w:rsidP="00570C90">
      <w:pPr>
        <w:pStyle w:val="NoSpacing"/>
        <w:rPr>
          <w:rFonts w:ascii="Arial" w:eastAsiaTheme="minorEastAsia" w:hAnsi="Arial" w:cs="Arial"/>
          <w:lang w:val="es-MX"/>
        </w:rPr>
      </w:pPr>
      <w:r>
        <w:rPr>
          <w:rFonts w:ascii="Arial" w:eastAsiaTheme="minorEastAsia" w:hAnsi="Arial" w:cs="Arial"/>
          <w:lang w:val="es-MX"/>
        </w:rPr>
        <w:t>En la siguiente sección agruparemos los conceptos del VAR y de PLS, así como la idea fundamental de Franses para dar cabida al VAR-PLS con fines predictivos.</w:t>
      </w:r>
    </w:p>
    <w:p w:rsidR="007056DA" w:rsidRDefault="007056DA" w:rsidP="00570C90">
      <w:pPr>
        <w:pStyle w:val="NoSpacing"/>
        <w:rPr>
          <w:rFonts w:ascii="Arial" w:eastAsiaTheme="minorEastAsia" w:hAnsi="Arial" w:cs="Arial"/>
          <w:b/>
          <w:sz w:val="24"/>
          <w:lang w:val="es-MX"/>
        </w:rPr>
      </w:pPr>
    </w:p>
    <w:p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rsidR="00570C90" w:rsidRPr="006D0C0C" w:rsidRDefault="00570C90" w:rsidP="00CC50E8">
      <w:pPr>
        <w:pStyle w:val="NoSpacing"/>
        <w:rPr>
          <w:rFonts w:ascii="Arial" w:eastAsiaTheme="minorEastAsia" w:hAnsi="Arial" w:cs="Arial"/>
          <w:lang w:val="es-MX"/>
        </w:rPr>
      </w:pPr>
    </w:p>
    <w:p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v:shape id="_x0000_i1028" type="#_x0000_t75" style="width:87.75pt;height:77.25pt" o:ole="">
            <v:imagedata r:id="rId13" o:title=""/>
          </v:shape>
          <o:OLEObject Type="Embed" ProgID="Equation.3" ShapeID="_x0000_i1028" DrawAspect="Content" ObjectID="_1400601033" r:id="rId14"/>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v:shape id="_x0000_i1029" type="#_x0000_t75" style="width:86.25pt;height:77.25pt" o:ole="">
            <v:imagedata r:id="rId15" o:title=""/>
          </v:shape>
          <o:OLEObject Type="Embed" ProgID="Equation.3" ShapeID="_x0000_i1029" DrawAspect="Content" ObjectID="_1400601034" r:id="rId16"/>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v:shape id="_x0000_i1030" type="#_x0000_t75" style="width:86.25pt;height:92.25pt" o:ole="">
            <v:imagedata r:id="rId17" o:title=""/>
          </v:shape>
          <o:OLEObject Type="Embed" ProgID="Equation.3" ShapeID="_x0000_i1030" DrawAspect="Content" ObjectID="_1400601035" r:id="rId18"/>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v:shape id="_x0000_i1031" type="#_x0000_t75" style="width:165pt;height:90pt" o:ole="">
            <v:imagedata r:id="rId19" o:title=""/>
          </v:shape>
          <o:OLEObject Type="Embed" ProgID="Equation.3" ShapeID="_x0000_i1031" DrawAspect="Content" ObjectID="_1400601036" r:id="rId20"/>
        </w:object>
      </w:r>
    </w:p>
    <w:p w:rsidR="00B3408C" w:rsidRDefault="00B3408C" w:rsidP="00CC50E8">
      <w:pPr>
        <w:pStyle w:val="NoSpacing"/>
        <w:rPr>
          <w:rFonts w:ascii="Arial" w:hAnsi="Arial" w:cs="Arial"/>
          <w:lang w:val="es-MX"/>
        </w:rPr>
      </w:pPr>
    </w:p>
    <w:p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sidR="007056DA">
        <w:rPr>
          <w:rFonts w:ascii="Arial" w:eastAsiaTheme="minorEastAsia" w:hAnsi="Arial" w:cs="Arial"/>
          <w:lang w:val="es-MX"/>
        </w:rPr>
        <w:t>, lo anterior para un modelo que tiene como fuente de inflación variables tradicionales en la economía.</w:t>
      </w:r>
    </w:p>
    <w:p w:rsidR="00B657DC" w:rsidRDefault="00B657DC" w:rsidP="00CC50E8">
      <w:pPr>
        <w:pStyle w:val="NoSpacing"/>
        <w:rPr>
          <w:rFonts w:ascii="Arial" w:eastAsiaTheme="minorEastAsia" w:hAnsi="Arial" w:cs="Arial"/>
          <w:lang w:val="es-MX"/>
        </w:rPr>
      </w:pPr>
    </w:p>
    <w:p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rsidR="00B0391F" w:rsidRDefault="00B0391F" w:rsidP="00CC50E8">
      <w:pPr>
        <w:pStyle w:val="NoSpacing"/>
        <w:rPr>
          <w:rFonts w:ascii="Arial" w:eastAsiaTheme="minorEastAsia" w:hAnsi="Arial" w:cs="Arial"/>
          <w:b/>
          <w:sz w:val="24"/>
          <w:lang w:val="es-MX"/>
        </w:rPr>
      </w:pPr>
    </w:p>
    <w:p w:rsidR="00D12C8C" w:rsidRPr="00D12C8C" w:rsidRDefault="00D12C8C" w:rsidP="00D12C8C">
      <w:pPr>
        <w:pStyle w:val="NoSpacing"/>
        <w:rPr>
          <w:rFonts w:ascii="Arial" w:hAnsi="Arial" w:cs="Arial"/>
          <w:lang w:val="es-MX"/>
        </w:rPr>
      </w:pPr>
      <w:r w:rsidRPr="00D12C8C">
        <w:rPr>
          <w:rFonts w:ascii="Arial" w:hAnsi="Arial" w:cs="Arial"/>
          <w:lang w:val="es-MX"/>
        </w:rPr>
        <w:t xml:space="preserve">El modelo considerará, cómo fuente principal de la dinámica inflacionaria mexicana, el crecimiento o variación de las condiciones monetarias del país. Al respecto existe una gran </w:t>
      </w:r>
      <w:r w:rsidRPr="00D12C8C">
        <w:rPr>
          <w:rFonts w:ascii="Arial" w:hAnsi="Arial" w:cs="Arial"/>
          <w:lang w:val="es-MX"/>
        </w:rPr>
        <w:lastRenderedPageBreak/>
        <w:t>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rsidR="00D12C8C" w:rsidRPr="00D12C8C" w:rsidRDefault="00D12C8C" w:rsidP="00D12C8C">
      <w:pPr>
        <w:pStyle w:val="NoSpacing"/>
        <w:rPr>
          <w:rFonts w:ascii="Arial" w:hAnsi="Arial" w:cs="Arial"/>
          <w:lang w:val="es-MX"/>
        </w:rPr>
      </w:pPr>
    </w:p>
    <w:p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F31660">
        <w:rPr>
          <w:rFonts w:ascii="Arial" w:hAnsi="Arial" w:cs="Arial"/>
          <w:lang w:val="es-MX"/>
        </w:rPr>
        <w:t xml:space="preserve">que </w:t>
      </w:r>
      <w:r w:rsidR="004938FE">
        <w:rPr>
          <w:rFonts w:ascii="Arial" w:hAnsi="Arial" w:cs="Arial"/>
          <w:lang w:val="es-MX"/>
        </w:rPr>
        <w:t>aunque</w:t>
      </w:r>
      <w:r>
        <w:rPr>
          <w:rFonts w:ascii="Arial" w:hAnsi="Arial" w:cs="Arial"/>
          <w:lang w:val="es-MX"/>
        </w:rPr>
        <w:t xml:space="preserve"> el objetivo inflacionario está ligado</w:t>
      </w:r>
      <w:r w:rsidR="00F31660">
        <w:rPr>
          <w:rFonts w:ascii="Arial" w:hAnsi="Arial" w:cs="Arial"/>
          <w:lang w:val="es-MX"/>
        </w:rPr>
        <w:t xml:space="preserve"> a las tasas de interés</w:t>
      </w:r>
      <w:r>
        <w:rPr>
          <w:rFonts w:ascii="Arial" w:hAnsi="Arial" w:cs="Arial"/>
          <w:lang w:val="es-MX"/>
        </w:rPr>
        <w:t xml:space="preserve"> </w:t>
      </w:r>
      <w:r w:rsidR="004938FE">
        <w:rPr>
          <w:rFonts w:ascii="Arial" w:hAnsi="Arial" w:cs="Arial"/>
          <w:lang w:val="es-MX"/>
        </w:rPr>
        <w:t>es producto</w:t>
      </w:r>
      <w:r>
        <w:rPr>
          <w:rFonts w:ascii="Arial" w:hAnsi="Arial" w:cs="Arial"/>
          <w:lang w:val="es-MX"/>
        </w:rPr>
        <w:t xml:space="preserve"> de la política que toma el banco central para controlar</w:t>
      </w:r>
      <w:r w:rsidR="00F31660">
        <w:rPr>
          <w:rFonts w:ascii="Arial" w:hAnsi="Arial" w:cs="Arial"/>
          <w:lang w:val="es-MX"/>
        </w:rPr>
        <w:t xml:space="preserve">las y </w:t>
      </w:r>
      <w:r w:rsidR="004938FE">
        <w:rPr>
          <w:rFonts w:ascii="Arial" w:hAnsi="Arial" w:cs="Arial"/>
          <w:lang w:val="es-MX"/>
        </w:rPr>
        <w:t>esto es precisamente intervención en el mercado de dinero, es decir, crecimiento monetario.</w:t>
      </w:r>
    </w:p>
    <w:p w:rsidR="00D12C8C" w:rsidRPr="00D12C8C" w:rsidRDefault="00D12C8C" w:rsidP="00D12C8C">
      <w:pPr>
        <w:pStyle w:val="NoSpacing"/>
        <w:rPr>
          <w:rFonts w:ascii="Arial" w:hAnsi="Arial" w:cs="Arial"/>
          <w:lang w:val="es-MX"/>
        </w:rPr>
      </w:pPr>
    </w:p>
    <w:p w:rsidR="00D12C8C" w:rsidRDefault="00D12C8C" w:rsidP="00D12C8C">
      <w:pPr>
        <w:pStyle w:val="NoSpacing"/>
        <w:rPr>
          <w:rFonts w:ascii="Arial" w:hAnsi="Arial" w:cs="Arial"/>
          <w:lang w:val="es-MX"/>
        </w:rPr>
      </w:pPr>
      <w:r w:rsidRPr="00D12C8C">
        <w:rPr>
          <w:rFonts w:ascii="Arial" w:hAnsi="Arial" w:cs="Arial"/>
          <w:lang w:val="es-MX"/>
        </w:rPr>
        <w:t xml:space="preserve">Claro está, en este trabajo no abordaremos tal discusión, sino que se mostraremos las propiedades empíricas del modelo desarrollado en términos del error de predicción fuera de muestra. </w:t>
      </w:r>
    </w:p>
    <w:p w:rsidR="00D12C8C" w:rsidRDefault="00D12C8C" w:rsidP="00D12C8C">
      <w:pPr>
        <w:pStyle w:val="NoSpacing"/>
        <w:rPr>
          <w:rFonts w:ascii="Arial" w:hAnsi="Arial" w:cs="Arial"/>
          <w:lang w:val="es-MX"/>
        </w:rPr>
      </w:pPr>
    </w:p>
    <w:p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rsidR="00633EB5" w:rsidRDefault="00633EB5" w:rsidP="00D12C8C">
      <w:pPr>
        <w:pStyle w:val="NoSpacing"/>
        <w:rPr>
          <w:rFonts w:ascii="Arial" w:hAnsi="Arial" w:cs="Arial"/>
          <w:lang w:val="es-MX"/>
        </w:rPr>
      </w:pPr>
    </w:p>
    <w:p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rsidR="00633EB5" w:rsidRDefault="00633EB5" w:rsidP="00D12C8C">
      <w:pPr>
        <w:pStyle w:val="NoSpacing"/>
        <w:rPr>
          <w:rFonts w:ascii="Arial" w:hAnsi="Arial" w:cs="Arial"/>
          <w:lang w:val="es-MX"/>
        </w:rPr>
      </w:pPr>
    </w:p>
    <w:p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r w:rsidR="00710D49">
        <w:rPr>
          <w:rFonts w:ascii="Arial" w:eastAsiaTheme="minorEastAsia" w:hAnsi="Arial" w:cs="Arial"/>
          <w:lang w:val="es-MX"/>
        </w:rPr>
        <w:t xml:space="preserve"> </w:t>
      </w:r>
      <w:r w:rsidR="00710D49" w:rsidRPr="00710D49">
        <w:rPr>
          <w:rFonts w:ascii="Arial" w:eastAsiaTheme="minorEastAsia" w:hAnsi="Arial" w:cs="Arial"/>
          <w:highlight w:val="yellow"/>
          <w:lang w:val="es-MX"/>
        </w:rPr>
        <w:t>Se consideran dummies mensuales</w:t>
      </w:r>
    </w:p>
    <w:p w:rsidR="00633EB5" w:rsidRDefault="00633EB5" w:rsidP="00D12C8C">
      <w:pPr>
        <w:pStyle w:val="NoSpacing"/>
        <w:rPr>
          <w:rFonts w:ascii="Arial" w:eastAsiaTheme="minorEastAsia" w:hAnsi="Arial" w:cs="Arial"/>
          <w:lang w:val="es-MX"/>
        </w:rPr>
      </w:pPr>
    </w:p>
    <w:p w:rsidR="00633EB5" w:rsidRPr="00710D49" w:rsidRDefault="00633EB5" w:rsidP="00697843">
      <w:pPr>
        <w:pStyle w:val="NoSpacing"/>
        <w:numPr>
          <w:ilvl w:val="0"/>
          <w:numId w:val="7"/>
        </w:numPr>
        <w:rPr>
          <w:rFonts w:ascii="Arial" w:hAnsi="Arial" w:cs="Arial"/>
          <w:highlight w:val="yellow"/>
          <w:lang w:val="es-MX"/>
        </w:rPr>
      </w:pPr>
      <w:r w:rsidRPr="00710D49">
        <w:rPr>
          <w:rFonts w:ascii="Arial" w:eastAsiaTheme="minorEastAsia" w:hAnsi="Arial" w:cs="Arial"/>
          <w:highlight w:val="yellow"/>
          <w:lang w:val="es-MX"/>
        </w:rPr>
        <w:t xml:space="preserve">Posteriormente, para ese </w:t>
      </w:r>
      <m:oMath>
        <m:r>
          <w:rPr>
            <w:rFonts w:ascii="Cambria Math" w:eastAsiaTheme="minorEastAsia" w:hAnsi="Cambria Math" w:cs="Arial"/>
            <w:highlight w:val="yellow"/>
            <w:lang w:val="es-MX"/>
          </w:rPr>
          <m:t>p</m:t>
        </m:r>
      </m:oMath>
      <w:r w:rsidRPr="00710D49">
        <w:rPr>
          <w:rFonts w:ascii="Arial" w:eastAsiaTheme="minorEastAsia" w:hAnsi="Arial" w:cs="Arial"/>
          <w:highlight w:val="yellow"/>
          <w:lang w:val="es-MX"/>
        </w:rPr>
        <w:t xml:space="preserve"> óptimo con una especificación constante y sin variables determinísticas, se procede a estimar el VAR-PLS con h = 24, computando el error fuera de muestra</w:t>
      </w:r>
      <w:r w:rsidR="00F31660" w:rsidRPr="00710D49">
        <w:rPr>
          <w:rFonts w:ascii="Arial" w:eastAsiaTheme="minorEastAsia" w:hAnsi="Arial" w:cs="Arial"/>
          <w:highlight w:val="yellow"/>
          <w:lang w:val="es-MX"/>
        </w:rPr>
        <w:t xml:space="preserve"> para cada una de las componentes existentes </w:t>
      </w:r>
      <m:oMath>
        <m:r>
          <w:rPr>
            <w:rFonts w:ascii="Cambria Math" w:eastAsiaTheme="minorEastAsia" w:hAnsi="Cambria Math" w:cs="Arial"/>
            <w:highlight w:val="yellow"/>
            <w:lang w:val="es-MX"/>
          </w:rPr>
          <m:t>pK</m:t>
        </m:r>
        <m:r>
          <w:rPr>
            <w:rFonts w:ascii="Cambria Math" w:eastAsiaTheme="minorEastAsia" w:hAnsi="Cambria Math" w:cs="Arial"/>
            <w:highlight w:val="yellow"/>
            <w:lang w:val="es-MX"/>
          </w:rPr>
          <m:t>+g</m:t>
        </m:r>
      </m:oMath>
      <w:r w:rsidR="00710D49" w:rsidRPr="00710D49">
        <w:rPr>
          <w:rFonts w:ascii="Arial" w:eastAsiaTheme="minorEastAsia" w:hAnsi="Arial" w:cs="Arial"/>
          <w:highlight w:val="yellow"/>
          <w:lang w:val="es-MX"/>
        </w:rPr>
        <w:t>, donde</w:t>
      </w:r>
      <w:r w:rsidR="00710D49">
        <w:rPr>
          <w:rFonts w:ascii="Arial" w:eastAsiaTheme="minorEastAsia" w:hAnsi="Arial" w:cs="Arial"/>
          <w:highlight w:val="yellow"/>
          <w:lang w:val="es-MX"/>
        </w:rPr>
        <w:t xml:space="preserve"> K es el número de variables endógenas y g, el número de variables determinísticas</w:t>
      </w:r>
      <w:r w:rsidR="00710D49" w:rsidRPr="00710D49">
        <w:rPr>
          <w:rFonts w:ascii="Arial" w:eastAsiaTheme="minorEastAsia" w:hAnsi="Arial" w:cs="Arial"/>
          <w:highlight w:val="yellow"/>
          <w:lang w:val="es-MX"/>
        </w:rPr>
        <w:t xml:space="preserve"> </w:t>
      </w:r>
    </w:p>
    <w:p w:rsidR="00826439" w:rsidRDefault="00826439" w:rsidP="00D12C8C">
      <w:pPr>
        <w:pStyle w:val="NoSpacing"/>
        <w:rPr>
          <w:rFonts w:ascii="Arial" w:hAnsi="Arial" w:cs="Arial"/>
          <w:lang w:val="es-MX"/>
        </w:rPr>
      </w:pPr>
    </w:p>
    <w:p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w:t>
      </w:r>
      <w:r>
        <w:rPr>
          <w:rFonts w:ascii="Arial" w:hAnsi="Arial" w:cs="Arial"/>
          <w:lang w:val="es-MX"/>
        </w:rPr>
        <w:lastRenderedPageBreak/>
        <w:t>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m:t>
        </m:r>
        <m:r>
          <w:rPr>
            <w:rFonts w:ascii="Cambria Math" w:eastAsiaTheme="minorEastAsia" w:hAnsi="Cambria Math" w:cs="Arial"/>
            <w:lang w:val="es-MX"/>
          </w:rPr>
          <m:t>=1,…,</m:t>
        </m:r>
        <m:r>
          <w:rPr>
            <w:rFonts w:ascii="Cambria Math" w:eastAsiaTheme="minorEastAsia" w:hAnsi="Cambria Math" w:cs="Arial"/>
            <w:highlight w:val="yellow"/>
            <w:lang w:val="es-MX"/>
          </w:rPr>
          <m:t>3696</m:t>
        </m:r>
      </m:oMath>
      <w:r w:rsidR="00F31660">
        <w:rPr>
          <w:rFonts w:ascii="Arial" w:hAnsi="Arial" w:cs="Arial"/>
          <w:lang w:val="es-MX"/>
        </w:rPr>
        <w:t xml:space="preserve"> posibles</w:t>
      </w:r>
      <w:r>
        <w:rPr>
          <w:rFonts w:ascii="Arial" w:hAnsi="Arial" w:cs="Arial"/>
          <w:lang w:val="es-MX"/>
        </w:rPr>
        <w:t xml:space="preserve"> a estimar.</w:t>
      </w:r>
    </w:p>
    <w:p w:rsidR="00633EB5" w:rsidRDefault="00633EB5" w:rsidP="00D12C8C">
      <w:pPr>
        <w:pStyle w:val="NoSpacing"/>
        <w:rPr>
          <w:rFonts w:ascii="Arial" w:hAnsi="Arial" w:cs="Arial"/>
          <w:lang w:val="es-MX"/>
        </w:rPr>
      </w:pPr>
    </w:p>
    <w:p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rsidR="00611704" w:rsidRDefault="00611704" w:rsidP="00D12C8C">
      <w:pPr>
        <w:pStyle w:val="NoSpacing"/>
        <w:rPr>
          <w:rFonts w:ascii="Arial" w:hAnsi="Arial" w:cs="Arial"/>
          <w:lang w:val="es-MX"/>
        </w:rPr>
      </w:pPr>
    </w:p>
    <w:p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rsidR="0014579A" w:rsidRDefault="0014579A" w:rsidP="00697843">
      <w:pPr>
        <w:pStyle w:val="NoSpacing"/>
        <w:ind w:left="360"/>
        <w:rPr>
          <w:rFonts w:ascii="Arial" w:hAnsi="Arial" w:cs="Arial"/>
          <w:lang w:val="es-MX"/>
        </w:rPr>
      </w:pP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rsidR="006D1C97" w:rsidRDefault="006D1C97" w:rsidP="00697843">
      <w:pPr>
        <w:pStyle w:val="NoSpacing"/>
        <w:ind w:left="360"/>
        <w:rPr>
          <w:rFonts w:ascii="Arial" w:hAnsi="Arial" w:cs="Arial"/>
          <w:lang w:val="es-MX"/>
        </w:rPr>
      </w:pPr>
    </w:p>
    <w:p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rsidR="006D1C97" w:rsidRDefault="006D1C97" w:rsidP="00697843">
      <w:pPr>
        <w:pStyle w:val="NoSpacing"/>
        <w:ind w:left="360"/>
        <w:rPr>
          <w:rFonts w:ascii="Arial" w:eastAsiaTheme="minorEastAsia" w:hAnsi="Arial" w:cs="Arial"/>
          <w:lang w:val="es-MX"/>
        </w:rPr>
      </w:pPr>
    </w:p>
    <w:p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rsidR="006D1C97" w:rsidRDefault="006D1C97" w:rsidP="00697843">
      <w:pPr>
        <w:pStyle w:val="NoSpacing"/>
        <w:ind w:left="360"/>
        <w:rPr>
          <w:rFonts w:ascii="Arial" w:eastAsiaTheme="minorEastAsia" w:hAnsi="Arial" w:cs="Arial"/>
          <w:lang w:val="es-MX"/>
        </w:rPr>
      </w:pP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rsidR="006D1C97" w:rsidRDefault="006D1C97" w:rsidP="00D12C8C">
      <w:pPr>
        <w:pStyle w:val="NoSpacing"/>
        <w:rPr>
          <w:rFonts w:ascii="Arial" w:eastAsiaTheme="minorEastAsia" w:hAnsi="Arial" w:cs="Arial"/>
          <w:lang w:val="es-MX"/>
        </w:rPr>
      </w:pPr>
    </w:p>
    <w:p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rsidR="00697843" w:rsidRDefault="00697843" w:rsidP="00D12C8C">
      <w:pPr>
        <w:pStyle w:val="NoSpacing"/>
        <w:rPr>
          <w:rFonts w:ascii="Arial" w:eastAsiaTheme="minorEastAsia" w:hAnsi="Arial" w:cs="Arial"/>
          <w:lang w:val="es-MX"/>
        </w:rPr>
      </w:pPr>
    </w:p>
    <w:p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pK</m:t>
        </m:r>
        <m:r>
          <w:rPr>
            <w:rFonts w:ascii="Cambria Math" w:eastAsiaTheme="minorEastAsia" w:hAnsi="Cambria Math" w:cs="Arial"/>
            <w:highlight w:val="yellow"/>
            <w:lang w:val="es-MX"/>
          </w:rPr>
          <m:t>+</m:t>
        </m:r>
        <m:r>
          <w:rPr>
            <w:rFonts w:ascii="Cambria Math" w:eastAsiaTheme="minorEastAsia" w:hAnsi="Cambria Math" w:cs="Arial"/>
            <w:highlight w:val="yellow"/>
          </w:rPr>
          <m:t>g</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w:t>
      </w:r>
      <w:proofErr w:type="spellStart"/>
      <w:r>
        <w:rPr>
          <w:rFonts w:ascii="Arial" w:eastAsiaTheme="minorEastAsia" w:hAnsi="Arial" w:cs="Arial"/>
          <w:lang w:val="es-MX"/>
        </w:rPr>
        <w:t>iva</w:t>
      </w:r>
      <w:proofErr w:type="spellEnd"/>
      <w:r>
        <w:rPr>
          <w:rFonts w:ascii="Arial" w:eastAsiaTheme="minorEastAsia" w:hAnsi="Arial" w:cs="Arial"/>
          <w:lang w:val="es-MX"/>
        </w:rPr>
        <w:t xml:space="preserve"> respecto a métodos recursivos de pronóstico como el q</w:t>
      </w:r>
      <w:r w:rsidR="00F31660">
        <w:rPr>
          <w:rFonts w:ascii="Arial" w:eastAsiaTheme="minorEastAsia" w:hAnsi="Arial" w:cs="Arial"/>
          <w:lang w:val="es-MX"/>
        </w:rPr>
        <w:t>ue se utiliza con el modelo VAR siendo indistinta la componente seleccionada.</w:t>
      </w:r>
    </w:p>
    <w:p w:rsidR="00697843" w:rsidRDefault="00697843" w:rsidP="00D12C8C">
      <w:pPr>
        <w:pStyle w:val="NoSpacing"/>
        <w:rPr>
          <w:rFonts w:ascii="Arial" w:eastAsiaTheme="minorEastAsia" w:hAnsi="Arial" w:cs="Arial"/>
          <w:lang w:val="es-MX"/>
        </w:rPr>
      </w:pPr>
    </w:p>
    <w:p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rsidR="00697843" w:rsidRDefault="00697843" w:rsidP="00D12C8C">
      <w:pPr>
        <w:pStyle w:val="NoSpacing"/>
        <w:rPr>
          <w:rFonts w:ascii="Arial" w:eastAsiaTheme="minorEastAsia" w:hAnsi="Arial" w:cs="Arial"/>
          <w:lang w:val="es-MX"/>
        </w:rPr>
      </w:pPr>
    </w:p>
    <w:p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w:t>
      </w:r>
      <w:r w:rsidR="00F31660">
        <w:rPr>
          <w:rFonts w:ascii="Arial" w:eastAsiaTheme="minorEastAsia" w:hAnsi="Arial" w:cs="Arial"/>
          <w:lang w:val="es-MX"/>
        </w:rPr>
        <w:t xml:space="preserve">2011), Kim (2001), entre </w:t>
      </w:r>
      <w:r w:rsidR="00F73F11">
        <w:rPr>
          <w:rFonts w:ascii="Arial" w:eastAsiaTheme="minorEastAsia" w:hAnsi="Arial" w:cs="Arial"/>
          <w:lang w:val="es-MX"/>
        </w:rPr>
        <w:t>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rsidR="006D1C97" w:rsidRDefault="006D1C97" w:rsidP="00D12C8C">
      <w:pPr>
        <w:pStyle w:val="NoSpacing"/>
        <w:rPr>
          <w:rFonts w:ascii="Arial" w:eastAsiaTheme="minorEastAsia" w:hAnsi="Arial" w:cs="Arial"/>
          <w:lang w:val="es-MX"/>
        </w:rPr>
      </w:pPr>
    </w:p>
    <w:p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rsidR="008E1590" w:rsidRDefault="008E1590" w:rsidP="00D12C8C">
      <w:pPr>
        <w:pStyle w:val="NoSpacing"/>
        <w:rPr>
          <w:rFonts w:ascii="Arial" w:eastAsiaTheme="minorEastAsia" w:hAnsi="Arial" w:cs="Arial"/>
          <w:lang w:val="es-MX"/>
        </w:rPr>
      </w:pPr>
    </w:p>
    <w:p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rsidR="000B022E" w:rsidRDefault="000B022E" w:rsidP="000B022E">
      <w:pPr>
        <w:pStyle w:val="NoSpacing"/>
        <w:ind w:left="720"/>
        <w:rPr>
          <w:rFonts w:ascii="Arial" w:eastAsiaTheme="minorEastAsia" w:hAnsi="Arial" w:cs="Arial"/>
          <w:lang w:val="es-MX"/>
        </w:rPr>
      </w:pPr>
    </w:p>
    <w:p w:rsidR="000B022E" w:rsidRDefault="00710D49"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0B022E">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sidR="000B022E">
        <w:rPr>
          <w:rFonts w:ascii="Arial" w:eastAsiaTheme="minorEastAsia" w:hAnsi="Arial" w:cs="Arial"/>
          <w:lang w:val="es-MX"/>
        </w:rPr>
        <w:t xml:space="preserve"> </w:t>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t>(17)</w:t>
      </w:r>
    </w:p>
    <w:p w:rsidR="000B022E" w:rsidRDefault="000B022E" w:rsidP="000B022E">
      <w:pPr>
        <w:pStyle w:val="NoSpacing"/>
        <w:ind w:left="360" w:firstLine="360"/>
        <w:rPr>
          <w:rFonts w:ascii="Arial" w:eastAsiaTheme="minorEastAsia" w:hAnsi="Arial" w:cs="Arial"/>
          <w:lang w:val="es-MX"/>
        </w:rPr>
      </w:pPr>
    </w:p>
    <w:p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rsidR="001E5648" w:rsidRDefault="001E5648" w:rsidP="001E5648">
      <w:pPr>
        <w:pStyle w:val="NoSpacing"/>
        <w:rPr>
          <w:rFonts w:ascii="Arial" w:eastAsiaTheme="minorEastAsia" w:hAnsi="Arial" w:cs="Arial"/>
          <w:lang w:val="es-MX"/>
        </w:rPr>
      </w:pPr>
    </w:p>
    <w:p w:rsidR="008E1590" w:rsidRPr="001E5648" w:rsidRDefault="00710D49"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sidR="001E5648">
        <w:rPr>
          <w:rFonts w:ascii="Arial" w:eastAsiaTheme="minorEastAsia" w:hAnsi="Arial" w:cs="Arial"/>
          <w:i/>
          <w:lang w:val="es-MX"/>
        </w:rPr>
        <w:t xml:space="preserve"> </w:t>
      </w:r>
    </w:p>
    <w:p w:rsidR="006D1C97" w:rsidRDefault="006D1C97" w:rsidP="00D12C8C">
      <w:pPr>
        <w:pStyle w:val="NoSpacing"/>
        <w:rPr>
          <w:rFonts w:ascii="Arial" w:hAnsi="Arial" w:cs="Arial"/>
          <w:lang w:val="es-MX"/>
        </w:rPr>
      </w:pPr>
    </w:p>
    <w:p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 xml:space="preserve">(x)=≠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rsidR="00611704" w:rsidRDefault="00611704" w:rsidP="00D12C8C">
      <w:pPr>
        <w:pStyle w:val="NoSpacing"/>
        <w:rPr>
          <w:rFonts w:ascii="Arial" w:hAnsi="Arial" w:cs="Arial"/>
          <w:lang w:val="es-MX"/>
        </w:rPr>
      </w:pPr>
    </w:p>
    <w:p w:rsidR="00611704" w:rsidRDefault="00C25D24" w:rsidP="00D12C8C">
      <w:pPr>
        <w:pStyle w:val="NoSpacing"/>
        <w:rPr>
          <w:rFonts w:ascii="Arial" w:hAnsi="Arial" w:cs="Arial"/>
          <w:b/>
          <w:sz w:val="24"/>
          <w:lang w:val="es-MX"/>
        </w:rPr>
      </w:pPr>
      <w:r w:rsidRPr="00C25D24">
        <w:rPr>
          <w:rFonts w:ascii="Arial" w:hAnsi="Arial" w:cs="Arial"/>
          <w:b/>
          <w:sz w:val="24"/>
          <w:lang w:val="es-MX"/>
        </w:rPr>
        <w:t>Resultados</w:t>
      </w:r>
    </w:p>
    <w:p w:rsidR="006F3F68" w:rsidRPr="006F3F68" w:rsidRDefault="006F3F68" w:rsidP="00D12C8C">
      <w:pPr>
        <w:pStyle w:val="NoSpacing"/>
        <w:rPr>
          <w:rFonts w:ascii="Arial" w:hAnsi="Arial" w:cs="Arial"/>
          <w:lang w:val="es-MX"/>
        </w:rPr>
      </w:pPr>
    </w:p>
    <w:p w:rsidR="00611704" w:rsidRDefault="00E42B4C" w:rsidP="00D12C8C">
      <w:pPr>
        <w:pStyle w:val="NoSpacing"/>
        <w:rPr>
          <w:rFonts w:ascii="Arial" w:hAnsi="Arial" w:cs="Arial"/>
          <w:lang w:val="es-MX"/>
        </w:rPr>
      </w:pPr>
      <w:r>
        <w:rPr>
          <w:rFonts w:ascii="Arial" w:hAnsi="Arial" w:cs="Arial"/>
          <w:lang w:val="es-MX"/>
        </w:rPr>
        <w:t>El primer paso fue especificar el modelo VAR y</w:t>
      </w:r>
      <w:r w:rsidR="00F31660">
        <w:rPr>
          <w:rFonts w:ascii="Arial" w:hAnsi="Arial" w:cs="Arial"/>
          <w:lang w:val="es-MX"/>
        </w:rPr>
        <w:t xml:space="preserve"> por ende el</w:t>
      </w:r>
      <w:r>
        <w:rPr>
          <w:rFonts w:ascii="Arial" w:hAnsi="Arial" w:cs="Arial"/>
          <w:lang w:val="es-MX"/>
        </w:rPr>
        <w:t xml:space="preserve">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rsidR="004E6339" w:rsidRDefault="004E6339" w:rsidP="00D12C8C">
      <w:pPr>
        <w:pStyle w:val="NoSpacing"/>
        <w:rPr>
          <w:rFonts w:ascii="Arial" w:hAnsi="Arial" w:cs="Arial"/>
          <w:lang w:val="es-MX"/>
        </w:rPr>
      </w:pPr>
    </w:p>
    <w:p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rsidR="00826439" w:rsidRDefault="006F3F68" w:rsidP="00D12C8C">
      <w:pPr>
        <w:pStyle w:val="NoSpacing"/>
        <w:rPr>
          <w:rFonts w:ascii="Arial" w:hAnsi="Arial" w:cs="Arial"/>
          <w:lang w:val="es-MX"/>
        </w:rPr>
      </w:pPr>
      <w:r>
        <w:rPr>
          <w:rFonts w:ascii="Arial" w:hAnsi="Arial" w:cs="Arial"/>
          <w:noProof/>
        </w:rPr>
        <w:drawing>
          <wp:inline distT="0" distB="0" distL="0" distR="0">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w:t>
      </w:r>
      <w:r w:rsidR="00F31660">
        <w:rPr>
          <w:rFonts w:ascii="Arial" w:hAnsi="Arial" w:cs="Arial"/>
          <w:lang w:val="es-MX"/>
        </w:rPr>
        <w:t xml:space="preserve"> la cual</w:t>
      </w:r>
      <w:r>
        <w:rPr>
          <w:rFonts w:ascii="Arial" w:hAnsi="Arial" w:cs="Arial"/>
          <w:lang w:val="es-MX"/>
        </w:rPr>
        <w:t xml:space="preserve"> que a partir del 2010 exhibe cierta recuperación respecto a los niveles observados en la primera mitad del gráfico. La tasa de interés claramente ha tenido un periodo de estabilidad a partir del segundo semestre del 2010.</w:t>
      </w:r>
    </w:p>
    <w:p w:rsidR="004E6339" w:rsidRDefault="004E6339" w:rsidP="00D12C8C">
      <w:pPr>
        <w:pStyle w:val="NoSpacing"/>
        <w:rPr>
          <w:rFonts w:ascii="Arial" w:hAnsi="Arial" w:cs="Arial"/>
          <w:lang w:val="es-MX"/>
        </w:rPr>
      </w:pPr>
    </w:p>
    <w:p w:rsidR="006F3F68" w:rsidRDefault="004E6339" w:rsidP="00D12C8C">
      <w:pPr>
        <w:pStyle w:val="NoSpacing"/>
        <w:rPr>
          <w:rFonts w:ascii="Arial" w:hAnsi="Arial" w:cs="Arial"/>
          <w:lang w:val="es-MX"/>
        </w:rPr>
      </w:pPr>
      <w:r>
        <w:rPr>
          <w:rFonts w:ascii="Arial" w:hAnsi="Arial" w:cs="Arial"/>
          <w:lang w:val="es-MX"/>
        </w:rPr>
        <w:lastRenderedPageBreak/>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w:t>
      </w:r>
      <w:r w:rsidR="00710D49">
        <w:rPr>
          <w:rFonts w:ascii="Arial" w:hAnsi="Arial" w:cs="Arial"/>
          <w:lang w:val="es-MX"/>
        </w:rPr>
        <w:t xml:space="preserve"> de Predicción el cual fue de </w:t>
      </w:r>
      <w:r w:rsidR="00710D49" w:rsidRPr="00710D49">
        <w:rPr>
          <w:rFonts w:ascii="Arial" w:hAnsi="Arial" w:cs="Arial"/>
          <w:highlight w:val="yellow"/>
          <w:lang w:val="es-MX"/>
        </w:rPr>
        <w:t>3</w:t>
      </w:r>
      <w:r w:rsidR="00DD4240">
        <w:rPr>
          <w:rFonts w:ascii="Arial" w:hAnsi="Arial" w:cs="Arial"/>
          <w:lang w:val="es-MX"/>
        </w:rPr>
        <w:t>, asimismo, se realizó la prueba de Johansen para denotar la presencia o no de relaciones de largo plazo.</w:t>
      </w:r>
    </w:p>
    <w:p w:rsidR="00DD4240" w:rsidRDefault="00DD4240" w:rsidP="00D12C8C">
      <w:pPr>
        <w:pStyle w:val="NoSpacing"/>
        <w:rPr>
          <w:rFonts w:ascii="Arial" w:hAnsi="Arial" w:cs="Arial"/>
          <w:lang w:val="es-MX"/>
        </w:rPr>
      </w:pPr>
    </w:p>
    <w:p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rsidR="00DD4240" w:rsidRDefault="00DD4240" w:rsidP="00D12C8C">
      <w:pPr>
        <w:pStyle w:val="NoSpacing"/>
        <w:rPr>
          <w:rFonts w:ascii="Arial" w:hAnsi="Arial" w:cs="Arial"/>
          <w:lang w:val="es-MX"/>
        </w:rPr>
      </w:pPr>
    </w:p>
    <w:p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m:t>
        </m:r>
        <m:r>
          <m:rPr>
            <m:sty m:val="bi"/>
          </m:rPr>
          <w:rPr>
            <w:rFonts w:ascii="Cambria Math" w:hAnsi="Cambria Math" w:cs="Arial"/>
            <w:lang w:val="es-MX"/>
          </w:rPr>
          <m:t>-1</m:t>
        </m:r>
        <m:r>
          <m:rPr>
            <m:sty m:val="bi"/>
          </m:rPr>
          <w:rPr>
            <w:rFonts w:ascii="Cambria Math" w:hAnsi="Cambria Math" w:cs="Arial"/>
            <w:lang w:val="es-MX"/>
          </w:rPr>
          <m:t>.</m:t>
        </m:r>
        <m:r>
          <m:rPr>
            <m:sty m:val="bi"/>
          </m:rPr>
          <w:rPr>
            <w:rFonts w:ascii="Cambria Math" w:hAnsi="Cambria Math" w:cs="Arial"/>
            <w:lang w:val="es-MX"/>
          </w:rPr>
          <m:t>53</m:t>
        </m:r>
        <m:r>
          <m:rPr>
            <m:sty m:val="bi"/>
          </m:rPr>
          <w:rPr>
            <w:rFonts w:ascii="Cambria Math" w:hAnsi="Cambria Math" w:cs="Arial"/>
            <w:lang w:val="es-MX"/>
          </w:rPr>
          <m:t>-0.</m:t>
        </m:r>
        <m:r>
          <m:rPr>
            <m:sty m:val="bi"/>
          </m:rPr>
          <w:rPr>
            <w:rFonts w:ascii="Cambria Math" w:hAnsi="Cambria Math" w:cs="Arial"/>
            <w:lang w:val="es-MX"/>
          </w:rPr>
          <m:t>24</m:t>
        </m:r>
        <m:r>
          <m:rPr>
            <m:sty m:val="bi"/>
          </m:rPr>
          <w:rPr>
            <w:rFonts w:ascii="Cambria Math" w:hAnsi="Cambria Math" w:cs="Arial"/>
          </w:rPr>
          <m:t>m</m:t>
        </m:r>
        <m:r>
          <m:rPr>
            <m:sty m:val="bi"/>
          </m:rPr>
          <w:rPr>
            <w:rFonts w:ascii="Cambria Math" w:hAnsi="Cambria Math" w:cs="Arial"/>
            <w:lang w:val="es-MX"/>
          </w:rPr>
          <m:t>-0.</m:t>
        </m:r>
        <m:r>
          <m:rPr>
            <m:sty m:val="bi"/>
          </m:rPr>
          <w:rPr>
            <w:rFonts w:ascii="Cambria Math" w:hAnsi="Cambria Math" w:cs="Arial"/>
            <w:lang w:val="es-MX"/>
          </w:rPr>
          <m:t>29</m:t>
        </m:r>
        <m:r>
          <m:rPr>
            <m:sty m:val="bi"/>
          </m:rPr>
          <w:rPr>
            <w:rFonts w:ascii="Cambria Math" w:hAnsi="Cambria Math" w:cs="Arial"/>
          </w:rPr>
          <m:t>y</m:t>
        </m:r>
        <m:r>
          <m:rPr>
            <m:sty m:val="bi"/>
          </m:rPr>
          <w:rPr>
            <w:rFonts w:ascii="Cambria Math" w:hAnsi="Cambria Math" w:cs="Arial"/>
            <w:lang w:val="es-MX"/>
          </w:rPr>
          <m:t>+0.</m:t>
        </m:r>
        <m:r>
          <m:rPr>
            <m:sty m:val="bi"/>
          </m:rPr>
          <w:rPr>
            <w:rFonts w:ascii="Cambria Math" w:hAnsi="Cambria Math" w:cs="Arial"/>
            <w:lang w:val="es-MX"/>
          </w:rPr>
          <m:t>01</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rsidR="00DD4240" w:rsidRDefault="00DD4240" w:rsidP="00D12C8C">
      <w:pPr>
        <w:pStyle w:val="NoSpacing"/>
        <w:rPr>
          <w:rFonts w:ascii="Arial" w:hAnsi="Arial" w:cs="Arial"/>
          <w:lang w:val="es-MX"/>
        </w:rPr>
      </w:pPr>
    </w:p>
    <w:p w:rsidR="00DD4240" w:rsidRDefault="00DD4240" w:rsidP="00D12C8C">
      <w:pPr>
        <w:pStyle w:val="NoSpacing"/>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No obstante existe un debate teórico en relación a la especificación que analiza la inflación desde una perspectiva monetaria, los resultados son coherentes y se expresará que tal relación, dada por la estructura de rezagos, es apropiada desde una perspectiva estadística como econométrica. </w:t>
      </w:r>
    </w:p>
    <w:p w:rsidR="00DD4240" w:rsidRDefault="00DD4240" w:rsidP="00D12C8C">
      <w:pPr>
        <w:pStyle w:val="NoSpacing"/>
        <w:rPr>
          <w:rFonts w:ascii="Arial" w:hAnsi="Arial" w:cs="Arial"/>
          <w:lang w:val="es-MX"/>
        </w:rPr>
      </w:pPr>
    </w:p>
    <w:p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highlight w:val="yellow"/>
            <w:lang w:val="es-MX"/>
          </w:rPr>
          <m:t>pK</m:t>
        </m:r>
        <m:r>
          <w:rPr>
            <w:rFonts w:ascii="Cambria Math" w:eastAsiaTheme="minorEastAsia" w:hAnsi="Cambria Math" w:cs="Arial"/>
            <w:highlight w:val="yellow"/>
            <w:lang w:val="es-MX"/>
          </w:rPr>
          <m:t>+g=23</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rsidR="00DD4240" w:rsidRDefault="00DD4240" w:rsidP="00D12C8C">
      <w:pPr>
        <w:pStyle w:val="NoSpacing"/>
        <w:rPr>
          <w:rFonts w:ascii="Arial" w:eastAsiaTheme="minorEastAsia" w:hAnsi="Arial" w:cs="Arial"/>
          <w:lang w:val="es-MX"/>
        </w:rPr>
      </w:pPr>
    </w:p>
    <w:p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w:t>
      </w:r>
      <w:r w:rsidR="00710D49">
        <w:rPr>
          <w:rFonts w:ascii="Arial" w:eastAsiaTheme="minorEastAsia" w:hAnsi="Arial" w:cs="Arial"/>
          <w:lang w:val="es-MX"/>
        </w:rPr>
        <w:t xml:space="preserve">dad, podría ser </w:t>
      </w:r>
      <w:r w:rsidR="00710D49" w:rsidRPr="00710D49">
        <w:rPr>
          <w:rFonts w:ascii="Arial" w:eastAsiaTheme="minorEastAsia" w:hAnsi="Arial" w:cs="Arial"/>
          <w:highlight w:val="yellow"/>
          <w:lang w:val="es-MX"/>
        </w:rPr>
        <w:t>12 (81.10%)</w:t>
      </w:r>
      <w:r w:rsidRPr="00710D49">
        <w:rPr>
          <w:rFonts w:ascii="Arial" w:eastAsiaTheme="minorEastAsia" w:hAnsi="Arial" w:cs="Arial"/>
          <w:highlight w:val="yellow"/>
          <w:lang w:val="es-MX"/>
        </w:rPr>
        <w:t>. Para fines visuales, utili</w:t>
      </w:r>
      <w:r w:rsidR="00710D49" w:rsidRPr="00710D49">
        <w:rPr>
          <w:rFonts w:ascii="Arial" w:eastAsiaTheme="minorEastAsia" w:hAnsi="Arial" w:cs="Arial"/>
          <w:highlight w:val="yellow"/>
          <w:lang w:val="es-MX"/>
        </w:rPr>
        <w:t>zamos las componentes que maximizan desde un 60% hasta un 100%,</w:t>
      </w:r>
      <w:r w:rsidR="00710D49">
        <w:rPr>
          <w:rFonts w:ascii="Arial" w:eastAsiaTheme="minorEastAsia" w:hAnsi="Arial" w:cs="Arial"/>
          <w:highlight w:val="yellow"/>
          <w:lang w:val="es-MX"/>
        </w:rPr>
        <w:t xml:space="preserve"> esto para observar</w:t>
      </w:r>
      <w:r w:rsidRPr="00710D49">
        <w:rPr>
          <w:rFonts w:ascii="Arial" w:eastAsiaTheme="minorEastAsia" w:hAnsi="Arial" w:cs="Arial"/>
          <w:highlight w:val="yellow"/>
          <w:lang w:val="es-MX"/>
        </w:rPr>
        <w:t xml:space="preserve"> el comportamiento de pronóstico respecto al observado real de precios.</w:t>
      </w:r>
    </w:p>
    <w:p w:rsidR="00DD4240" w:rsidRDefault="00DD4240" w:rsidP="00D12C8C">
      <w:pPr>
        <w:pStyle w:val="NoSpacing"/>
        <w:rPr>
          <w:rFonts w:ascii="Arial" w:eastAsiaTheme="minorEastAsia" w:hAnsi="Arial" w:cs="Arial"/>
          <w:lang w:val="es-MX"/>
        </w:rPr>
      </w:pPr>
    </w:p>
    <w:p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rsidR="00DD4240" w:rsidRDefault="00710D49" w:rsidP="00710D49">
      <w:pPr>
        <w:pStyle w:val="NoSpacing"/>
        <w:jc w:val="center"/>
        <w:rPr>
          <w:rFonts w:ascii="Arial" w:hAnsi="Arial" w:cs="Arial"/>
          <w:i/>
          <w:lang w:val="es-MX"/>
        </w:rPr>
      </w:pPr>
      <w:r>
        <w:rPr>
          <w:rFonts w:ascii="Arial" w:hAnsi="Arial" w:cs="Arial"/>
          <w:i/>
          <w:noProof/>
        </w:rPr>
        <w:lastRenderedPageBreak/>
        <w:drawing>
          <wp:inline distT="0" distB="0" distL="0" distR="0">
            <wp:extent cx="53149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rsidR="000431F8" w:rsidRDefault="00663304" w:rsidP="00D12C8C">
      <w:pPr>
        <w:pStyle w:val="NoSpacing"/>
        <w:rPr>
          <w:rFonts w:ascii="Arial" w:eastAsiaTheme="minorEastAsia" w:hAnsi="Arial" w:cs="Arial"/>
          <w:lang w:val="es-MX"/>
        </w:rPr>
      </w:pPr>
      <w:r w:rsidRPr="000431F8">
        <w:rPr>
          <w:rFonts w:ascii="Arial" w:hAnsi="Arial" w:cs="Arial"/>
          <w:highlight w:val="yellow"/>
          <w:lang w:val="es-MX"/>
        </w:rPr>
        <w:t>Podemos observar que prácticamente, el valor real es el mismo que el pronóstico obtenido</w:t>
      </w:r>
      <w:r w:rsidR="000431F8" w:rsidRPr="000431F8">
        <w:rPr>
          <w:rFonts w:ascii="Arial" w:hAnsi="Arial" w:cs="Arial"/>
          <w:highlight w:val="yellow"/>
          <w:lang w:val="es-MX"/>
        </w:rPr>
        <w:t xml:space="preserve"> con cualquiera de las componentes seleccionadas, siendo </w:t>
      </w:r>
      <m:oMath>
        <m:r>
          <w:rPr>
            <w:rFonts w:ascii="Cambria Math" w:hAnsi="Cambria Math" w:cs="Arial"/>
            <w:highlight w:val="yellow"/>
            <w:lang w:val="es-MX"/>
          </w:rPr>
          <m:t>k=23</m:t>
        </m:r>
      </m:oMath>
      <w:r w:rsidR="000431F8" w:rsidRPr="000431F8">
        <w:rPr>
          <w:rFonts w:ascii="Arial" w:eastAsiaTheme="minorEastAsia" w:hAnsi="Arial" w:cs="Arial"/>
          <w:highlight w:val="yellow"/>
          <w:lang w:val="es-MX"/>
        </w:rPr>
        <w:t xml:space="preserve"> (0.99 de explicación de la variabilidad) la que tiene un error menor de 0.07% y la mayor, la que explica un 70%, con 0.16%.</w:t>
      </w:r>
    </w:p>
    <w:p w:rsidR="000431F8" w:rsidRDefault="000431F8" w:rsidP="00D12C8C">
      <w:pPr>
        <w:pStyle w:val="NoSpacing"/>
        <w:rPr>
          <w:rFonts w:ascii="Arial" w:eastAsiaTheme="minorEastAsia" w:hAnsi="Arial" w:cs="Arial"/>
          <w:lang w:val="es-MX"/>
        </w:rPr>
      </w:pPr>
    </w:p>
    <w:p w:rsidR="000431F8" w:rsidRPr="000431F8" w:rsidRDefault="000431F8" w:rsidP="00D12C8C">
      <w:pPr>
        <w:pStyle w:val="NoSpacing"/>
        <w:rPr>
          <w:rFonts w:ascii="Arial" w:hAnsi="Arial" w:cs="Arial"/>
          <w:lang w:val="es-MX"/>
        </w:rPr>
      </w:pPr>
      <w:r w:rsidRPr="000431F8">
        <w:rPr>
          <w:rFonts w:ascii="Arial" w:eastAsiaTheme="minorEastAsia" w:hAnsi="Arial" w:cs="Arial"/>
          <w:highlight w:val="yellow"/>
          <w:lang w:val="es-MX"/>
        </w:rPr>
        <w:t xml:space="preserve">Se puede observar claramente que el intervalo de predicción vía Bootstrap (se gráfica la componente </w:t>
      </w:r>
      <m:oMath>
        <m:r>
          <w:rPr>
            <w:rFonts w:ascii="Cambria Math" w:eastAsiaTheme="minorEastAsia" w:hAnsi="Cambria Math" w:cs="Arial"/>
            <w:highlight w:val="yellow"/>
            <w:lang w:val="es-MX"/>
          </w:rPr>
          <m:t>k=23</m:t>
        </m:r>
      </m:oMath>
      <w:r w:rsidRPr="000431F8">
        <w:rPr>
          <w:rFonts w:ascii="Arial" w:eastAsiaTheme="minorEastAsia" w:hAnsi="Arial" w:cs="Arial"/>
          <w:highlight w:val="yellow"/>
          <w:lang w:val="es-MX"/>
        </w:rPr>
        <w:t>) atrapa los valores verdaderos de la serie de precios</w:t>
      </w:r>
    </w:p>
    <w:p w:rsidR="00663304" w:rsidRDefault="00663304" w:rsidP="00D12C8C">
      <w:pPr>
        <w:pStyle w:val="NoSpacing"/>
        <w:rPr>
          <w:rFonts w:ascii="Arial" w:hAnsi="Arial" w:cs="Arial"/>
          <w:lang w:val="es-MX"/>
        </w:rPr>
      </w:pPr>
    </w:p>
    <w:p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rsidR="007F7BD0" w:rsidRDefault="007F7BD0" w:rsidP="00D12C8C">
      <w:pPr>
        <w:pStyle w:val="NoSpacing"/>
        <w:rPr>
          <w:rFonts w:ascii="Arial" w:hAnsi="Arial" w:cs="Arial"/>
          <w:lang w:val="es-MX"/>
        </w:rPr>
      </w:pPr>
    </w:p>
    <w:p w:rsidR="00243D3E" w:rsidRPr="00F31660" w:rsidRDefault="007F7BD0" w:rsidP="00D12C8C">
      <w:pPr>
        <w:pStyle w:val="NoSpacing"/>
        <w:rPr>
          <w:rFonts w:ascii="Arial" w:hAnsi="Arial" w:cs="Arial"/>
          <w:b/>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0431F8">
        <w:rPr>
          <w:rFonts w:ascii="Arial" w:hAnsi="Arial" w:cs="Arial"/>
          <w:b/>
          <w:highlight w:val="yellow"/>
          <w:lang w:val="es-MX"/>
        </w:rPr>
        <w:t>co</w:t>
      </w:r>
      <w:r w:rsidR="000431F8" w:rsidRPr="000431F8">
        <w:rPr>
          <w:rFonts w:ascii="Arial" w:hAnsi="Arial" w:cs="Arial"/>
          <w:b/>
          <w:highlight w:val="yellow"/>
          <w:lang w:val="es-MX"/>
        </w:rPr>
        <w:t>n un error de 0.20% para m0, para y 0.60% y finalmente con un 12.03</w:t>
      </w:r>
      <w:r w:rsidR="00243D3E" w:rsidRPr="000431F8">
        <w:rPr>
          <w:rFonts w:ascii="Arial" w:hAnsi="Arial" w:cs="Arial"/>
          <w:b/>
          <w:highlight w:val="yellow"/>
          <w:lang w:val="es-MX"/>
        </w:rPr>
        <w:t>% la tasa de interés.</w:t>
      </w:r>
    </w:p>
    <w:p w:rsidR="00243D3E" w:rsidRDefault="00243D3E" w:rsidP="00D12C8C">
      <w:pPr>
        <w:pStyle w:val="NoSpacing"/>
        <w:rPr>
          <w:rFonts w:ascii="Arial" w:hAnsi="Arial" w:cs="Arial"/>
          <w:lang w:val="es-MX"/>
        </w:rPr>
      </w:pPr>
    </w:p>
    <w:p w:rsidR="00243D3E" w:rsidRDefault="00243D3E" w:rsidP="00D12C8C">
      <w:pPr>
        <w:pStyle w:val="NoSpacing"/>
        <w:rPr>
          <w:rFonts w:ascii="Arial" w:hAnsi="Arial" w:cs="Arial"/>
          <w:lang w:val="es-MX"/>
        </w:rPr>
      </w:pPr>
      <w:r>
        <w:rPr>
          <w:rFonts w:ascii="Arial" w:hAnsi="Arial" w:cs="Arial"/>
          <w:lang w:val="es-MX"/>
        </w:rPr>
        <w:lastRenderedPageBreak/>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rsidR="00243D3E" w:rsidRPr="00243D3E" w:rsidRDefault="00243D3E" w:rsidP="00243D3E">
      <w:pPr>
        <w:pStyle w:val="NoSpacing"/>
        <w:jc w:val="center"/>
        <w:rPr>
          <w:rFonts w:ascii="Arial" w:hAnsi="Arial" w:cs="Arial"/>
          <w:b/>
          <w:lang w:val="es-MX"/>
        </w:rPr>
      </w:pPr>
    </w:p>
    <w:p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rsidTr="00E1299C">
        <w:tc>
          <w:tcPr>
            <w:tcW w:w="1638"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0.19</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rsidR="00E1299C" w:rsidRPr="00E1299C" w:rsidRDefault="000431F8" w:rsidP="00D12C8C">
            <w:pPr>
              <w:pStyle w:val="NoSpacing"/>
              <w:rPr>
                <w:rFonts w:ascii="Arial" w:hAnsi="Arial" w:cs="Arial"/>
                <w:b/>
                <w:sz w:val="20"/>
                <w:lang w:val="es-MX"/>
              </w:rPr>
            </w:pPr>
            <w:r>
              <w:rPr>
                <w:rFonts w:ascii="Arial" w:hAnsi="Arial" w:cs="Arial"/>
                <w:b/>
                <w:sz w:val="20"/>
                <w:lang w:val="es-MX"/>
              </w:rPr>
              <w:t>0.11</w:t>
            </w:r>
          </w:p>
        </w:tc>
      </w:tr>
      <w:tr w:rsidR="000431F8" w:rsidRPr="00E1299C" w:rsidTr="00E1299C">
        <w:tc>
          <w:tcPr>
            <w:tcW w:w="1638" w:type="dxa"/>
          </w:tcPr>
          <w:p w:rsidR="000431F8" w:rsidRDefault="000431F8" w:rsidP="00D12C8C">
            <w:pPr>
              <w:pStyle w:val="NoSpacing"/>
              <w:rPr>
                <w:rFonts w:ascii="Arial" w:hAnsi="Arial" w:cs="Arial"/>
                <w:b/>
                <w:sz w:val="20"/>
                <w:lang w:val="es-MX"/>
              </w:rPr>
            </w:pPr>
            <w:r>
              <w:rPr>
                <w:rFonts w:ascii="Arial" w:hAnsi="Arial" w:cs="Arial"/>
                <w:b/>
                <w:sz w:val="20"/>
                <w:lang w:val="es-MX"/>
              </w:rPr>
              <w:t>Variables</w:t>
            </w:r>
          </w:p>
        </w:tc>
        <w:tc>
          <w:tcPr>
            <w:tcW w:w="1134" w:type="dxa"/>
          </w:tcPr>
          <w:p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AF5B91" w:rsidP="00D12C8C">
            <w:pPr>
              <w:pStyle w:val="NoSpacing"/>
              <w:rPr>
                <w:rFonts w:ascii="Arial" w:hAnsi="Arial" w:cs="Arial"/>
                <w:b/>
                <w:sz w:val="20"/>
                <w:lang w:val="es-MX"/>
              </w:rPr>
            </w:pPr>
            <w:r>
              <w:rPr>
                <w:rFonts w:ascii="Arial" w:hAnsi="Arial" w:cs="Arial"/>
                <w:b/>
                <w:sz w:val="20"/>
                <w:lang w:val="es-MX"/>
              </w:rPr>
              <w:t>r</w:t>
            </w:r>
          </w:p>
        </w:tc>
        <w:tc>
          <w:tcPr>
            <w:tcW w:w="1134" w:type="dxa"/>
          </w:tcPr>
          <w:p w:rsidR="000431F8" w:rsidRDefault="00AF5B91" w:rsidP="00D12C8C">
            <w:pPr>
              <w:pStyle w:val="NoSpacing"/>
              <w:rPr>
                <w:rFonts w:ascii="Arial" w:hAnsi="Arial" w:cs="Arial"/>
                <w:b/>
                <w:sz w:val="20"/>
                <w:lang w:val="es-MX"/>
              </w:rPr>
            </w:pPr>
            <w:r>
              <w:rPr>
                <w:rFonts w:ascii="Arial" w:hAnsi="Arial" w:cs="Arial"/>
                <w:b/>
                <w:sz w:val="20"/>
                <w:lang w:val="es-MX"/>
              </w:rPr>
              <w:t>r</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rsidR="00E1299C" w:rsidRPr="00E1299C" w:rsidRDefault="000431F8" w:rsidP="00D12C8C">
            <w:pPr>
              <w:pStyle w:val="NoSpacing"/>
              <w:rPr>
                <w:rFonts w:ascii="Arial" w:hAnsi="Arial" w:cs="Arial"/>
                <w:sz w:val="20"/>
                <w:lang w:val="es-MX"/>
              </w:rPr>
            </w:pPr>
            <w:r>
              <w:rPr>
                <w:rFonts w:ascii="Arial" w:hAnsi="Arial" w:cs="Arial"/>
                <w:sz w:val="20"/>
                <w:lang w:val="es-MX"/>
              </w:rPr>
              <w:t>3</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3</w:t>
            </w:r>
          </w:p>
        </w:tc>
        <w:tc>
          <w:tcPr>
            <w:tcW w:w="1134" w:type="dxa"/>
          </w:tcPr>
          <w:p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3</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5</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rsidR="00E1299C" w:rsidRPr="00E1299C" w:rsidRDefault="000431F8" w:rsidP="00D12C8C">
            <w:pPr>
              <w:pStyle w:val="NoSpacing"/>
              <w:rPr>
                <w:rFonts w:ascii="Arial" w:hAnsi="Arial" w:cs="Arial"/>
                <w:sz w:val="20"/>
                <w:lang w:val="es-MX"/>
              </w:rPr>
            </w:pPr>
            <w:r>
              <w:rPr>
                <w:rFonts w:ascii="Arial" w:hAnsi="Arial" w:cs="Arial"/>
                <w:sz w:val="20"/>
                <w:lang w:val="es-MX"/>
              </w:rPr>
              <w:t>9</w:t>
            </w:r>
          </w:p>
        </w:tc>
        <w:tc>
          <w:tcPr>
            <w:tcW w:w="1134" w:type="dxa"/>
          </w:tcPr>
          <w:p w:rsidR="00E1299C" w:rsidRPr="00E1299C" w:rsidRDefault="000431F8" w:rsidP="00D12C8C">
            <w:pPr>
              <w:pStyle w:val="NoSpacing"/>
              <w:rPr>
                <w:rFonts w:ascii="Arial" w:hAnsi="Arial" w:cs="Arial"/>
                <w:sz w:val="20"/>
                <w:lang w:val="es-MX"/>
              </w:rPr>
            </w:pPr>
            <w:r>
              <w:rPr>
                <w:rFonts w:ascii="Arial" w:hAnsi="Arial" w:cs="Arial"/>
                <w:sz w:val="20"/>
                <w:lang w:val="es-MX"/>
              </w:rPr>
              <w:t>11</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9</w:t>
            </w:r>
          </w:p>
        </w:tc>
        <w:tc>
          <w:tcPr>
            <w:tcW w:w="1134" w:type="dxa"/>
          </w:tcPr>
          <w:p w:rsidR="00E1299C" w:rsidRPr="00E1299C" w:rsidRDefault="00E1299C" w:rsidP="00697550">
            <w:pPr>
              <w:pStyle w:val="NoSpacing"/>
              <w:rPr>
                <w:rFonts w:ascii="Arial" w:hAnsi="Arial" w:cs="Arial"/>
                <w:sz w:val="20"/>
                <w:lang w:val="es-MX"/>
              </w:rPr>
            </w:pPr>
            <w:r w:rsidRPr="00E1299C">
              <w:rPr>
                <w:rFonts w:ascii="Arial" w:hAnsi="Arial" w:cs="Arial"/>
                <w:sz w:val="20"/>
                <w:lang w:val="es-MX"/>
              </w:rPr>
              <w:t>1</w:t>
            </w:r>
            <w:r w:rsidR="00697550">
              <w:rPr>
                <w:rFonts w:ascii="Arial" w:hAnsi="Arial" w:cs="Arial"/>
                <w:sz w:val="20"/>
                <w:lang w:val="es-MX"/>
              </w:rPr>
              <w:t>1</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6</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9</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11</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rsidR="00E1299C" w:rsidRPr="00E1299C" w:rsidRDefault="000431F8" w:rsidP="00D12C8C">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D12C8C">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r>
    </w:tbl>
    <w:p w:rsidR="007F7BD0" w:rsidRDefault="00243D3E" w:rsidP="00D12C8C">
      <w:pPr>
        <w:pStyle w:val="NoSpacing"/>
        <w:rPr>
          <w:rFonts w:ascii="Arial" w:hAnsi="Arial" w:cs="Arial"/>
          <w:lang w:val="es-MX"/>
        </w:rPr>
      </w:pPr>
      <w:r>
        <w:rPr>
          <w:rFonts w:ascii="Arial" w:hAnsi="Arial" w:cs="Arial"/>
          <w:lang w:val="es-MX"/>
        </w:rPr>
        <w:t xml:space="preserve">  </w:t>
      </w:r>
    </w:p>
    <w:p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rsidR="00E1299C" w:rsidRDefault="00E1299C" w:rsidP="00D12C8C">
      <w:pPr>
        <w:pStyle w:val="NoSpacing"/>
        <w:rPr>
          <w:rFonts w:ascii="Arial" w:hAnsi="Arial" w:cs="Arial"/>
          <w:lang w:val="es-MX"/>
        </w:rPr>
      </w:pPr>
    </w:p>
    <w:p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rsidR="006F3F68" w:rsidRPr="00C25D24" w:rsidRDefault="00697550" w:rsidP="008614CD">
      <w:pPr>
        <w:pStyle w:val="NoSpacing"/>
        <w:jc w:val="center"/>
        <w:rPr>
          <w:rFonts w:ascii="Arial" w:hAnsi="Arial" w:cs="Arial"/>
          <w:lang w:val="es-MX"/>
        </w:rPr>
      </w:pPr>
      <w:r>
        <w:rPr>
          <w:rFonts w:ascii="Arial" w:hAnsi="Arial" w:cs="Arial"/>
          <w:noProof/>
        </w:rPr>
        <w:drawing>
          <wp:inline distT="0" distB="0" distL="0" distR="0">
            <wp:extent cx="4866185"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4806" cy="4055297"/>
                    </a:xfrm>
                    <a:prstGeom prst="rect">
                      <a:avLst/>
                    </a:prstGeom>
                    <a:noFill/>
                    <a:ln>
                      <a:noFill/>
                    </a:ln>
                  </pic:spPr>
                </pic:pic>
              </a:graphicData>
            </a:graphic>
          </wp:inline>
        </w:drawing>
      </w:r>
    </w:p>
    <w:p w:rsidR="00E1299C" w:rsidRPr="0069568E" w:rsidRDefault="00E1299C" w:rsidP="00E1299C">
      <w:pPr>
        <w:pStyle w:val="NoSpacing"/>
        <w:rPr>
          <w:rFonts w:ascii="Arial" w:eastAsiaTheme="minorEastAsia" w:hAnsi="Arial" w:cs="Arial"/>
          <w:lang w:val="es-MX"/>
        </w:rPr>
      </w:pPr>
      <w:r w:rsidRPr="00AF5B91">
        <w:rPr>
          <w:rFonts w:ascii="Arial" w:eastAsiaTheme="minorEastAsia" w:hAnsi="Arial" w:cs="Arial"/>
          <w:highlight w:val="yellow"/>
          <w:lang w:val="es-MX"/>
        </w:rPr>
        <w:t>Aunque en término</w:t>
      </w:r>
      <w:r w:rsidR="00AF5B91" w:rsidRPr="00AF5B91">
        <w:rPr>
          <w:rFonts w:ascii="Arial" w:eastAsiaTheme="minorEastAsia" w:hAnsi="Arial" w:cs="Arial"/>
          <w:highlight w:val="yellow"/>
          <w:lang w:val="es-MX"/>
        </w:rPr>
        <w:t>s numéricos el error fue de 0.47</w:t>
      </w:r>
      <w:r w:rsidRPr="00AF5B91">
        <w:rPr>
          <w:rFonts w:ascii="Arial" w:eastAsiaTheme="minorEastAsia" w:hAnsi="Arial" w:cs="Arial"/>
          <w:highlight w:val="yellow"/>
          <w:lang w:val="es-MX"/>
        </w:rPr>
        <w:t>%, a detalle se observan grandes diferencias respecto al real observado, sobrestimando la infl</w:t>
      </w:r>
      <w:r w:rsidR="00AF5B91" w:rsidRPr="00AF5B91">
        <w:rPr>
          <w:rFonts w:ascii="Arial" w:eastAsiaTheme="minorEastAsia" w:hAnsi="Arial" w:cs="Arial"/>
          <w:highlight w:val="yellow"/>
          <w:lang w:val="es-MX"/>
        </w:rPr>
        <w:t xml:space="preserve">ación en cada uno de los casos, donde ser una constante, que fue la tasa de interés la única variable representativa para predecir fuera de muestra para </w:t>
      </w:r>
      <w:r w:rsidR="00AF5B91">
        <w:rPr>
          <w:rFonts w:ascii="Arial" w:eastAsiaTheme="minorEastAsia" w:hAnsi="Arial" w:cs="Arial"/>
          <w:highlight w:val="yellow"/>
          <w:lang w:val="es-MX"/>
        </w:rPr>
        <w:t xml:space="preserve">las anteriores 24 </w:t>
      </w:r>
      <w:r w:rsidR="00AF5B91" w:rsidRPr="00AF5B91">
        <w:rPr>
          <w:rFonts w:ascii="Arial" w:eastAsiaTheme="minorEastAsia" w:hAnsi="Arial" w:cs="Arial"/>
          <w:highlight w:val="yellow"/>
          <w:lang w:val="es-MX"/>
        </w:rPr>
        <w:t>observaciones</w:t>
      </w:r>
      <w:r w:rsidR="0069568E">
        <w:rPr>
          <w:rFonts w:ascii="Arial" w:eastAsiaTheme="minorEastAsia" w:hAnsi="Arial" w:cs="Arial"/>
          <w:lang w:val="es-MX"/>
        </w:rPr>
        <w:t xml:space="preserve">. </w:t>
      </w:r>
      <w:bookmarkStart w:id="0" w:name="_GoBack"/>
      <w:bookmarkEnd w:id="0"/>
    </w:p>
    <w:p w:rsidR="00AF5B91" w:rsidRDefault="00AF5B91" w:rsidP="00E1299C">
      <w:pPr>
        <w:pStyle w:val="NoSpacing"/>
        <w:rPr>
          <w:rFonts w:ascii="Arial" w:eastAsiaTheme="minorEastAsia" w:hAnsi="Arial" w:cs="Arial"/>
          <w:lang w:val="es-MX"/>
        </w:rPr>
      </w:pPr>
    </w:p>
    <w:p w:rsidR="00273757" w:rsidRDefault="00273757" w:rsidP="00E1299C">
      <w:pPr>
        <w:pStyle w:val="NoSpacing"/>
        <w:rPr>
          <w:rFonts w:ascii="Arial" w:eastAsiaTheme="minorEastAsia" w:hAnsi="Arial" w:cs="Arial"/>
          <w:lang w:val="es-MX"/>
        </w:rPr>
      </w:pPr>
    </w:p>
    <w:p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rsidR="00273757" w:rsidRDefault="00273757" w:rsidP="00E1299C">
      <w:pPr>
        <w:pStyle w:val="NoSpacing"/>
        <w:rPr>
          <w:rFonts w:ascii="Arial" w:eastAsiaTheme="minorEastAsia" w:hAnsi="Arial" w:cs="Arial"/>
          <w:lang w:val="es-MX"/>
        </w:rPr>
      </w:pPr>
    </w:p>
    <w:p w:rsidR="00273757" w:rsidRPr="00AF5B91" w:rsidRDefault="00273757" w:rsidP="00273757">
      <w:pPr>
        <w:pStyle w:val="NoSpacing"/>
        <w:jc w:val="center"/>
        <w:rPr>
          <w:rFonts w:ascii="Arial" w:hAnsi="Arial" w:cs="Arial"/>
          <w:b/>
          <w:lang w:val="es-MX"/>
        </w:rPr>
      </w:pPr>
      <w:r w:rsidRPr="00AF5B91">
        <w:rPr>
          <w:rFonts w:ascii="Arial" w:hAnsi="Arial" w:cs="Arial"/>
          <w:b/>
          <w:lang w:val="es-MX"/>
        </w:rPr>
        <w:t>[Gr</w:t>
      </w:r>
      <w:r>
        <w:rPr>
          <w:rFonts w:ascii="Arial" w:hAnsi="Arial" w:cs="Arial"/>
          <w:b/>
          <w:lang w:val="es-MX"/>
        </w:rPr>
        <w:t>áfico 4</w:t>
      </w:r>
      <w:r w:rsidRPr="00AF5B91">
        <w:rPr>
          <w:rFonts w:ascii="Arial" w:hAnsi="Arial" w:cs="Arial"/>
          <w:b/>
          <w:lang w:val="es-MX"/>
        </w:rPr>
        <w:t>]</w:t>
      </w:r>
    </w:p>
    <w:p w:rsidR="00E42B4C" w:rsidRDefault="00697550"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extent cx="5038725" cy="503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rsidR="00273757" w:rsidRDefault="00273757" w:rsidP="00273757">
      <w:pPr>
        <w:pStyle w:val="NoSpacing"/>
        <w:rPr>
          <w:rFonts w:ascii="Arial" w:eastAsiaTheme="minorEastAsia" w:hAnsi="Arial" w:cs="Arial"/>
          <w:b/>
          <w:sz w:val="24"/>
          <w:lang w:val="es-MX"/>
        </w:rPr>
      </w:pPr>
    </w:p>
    <w:p w:rsidR="00273757" w:rsidRDefault="00273757"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Resulta muy interesante que en promedio, </w:t>
      </w:r>
      <w:r w:rsidR="00AF5B91" w:rsidRPr="00AF5B91">
        <w:rPr>
          <w:rFonts w:ascii="Arial" w:eastAsiaTheme="minorEastAsia" w:hAnsi="Arial" w:cs="Arial"/>
          <w:b/>
          <w:highlight w:val="yellow"/>
          <w:lang w:val="es-MX"/>
        </w:rPr>
        <w:t>un 91.67</w:t>
      </w:r>
      <w:r w:rsidRPr="00AF5B91">
        <w:rPr>
          <w:rFonts w:ascii="Arial" w:eastAsiaTheme="minorEastAsia" w:hAnsi="Arial" w:cs="Arial"/>
          <w:b/>
          <w:highlight w:val="yellow"/>
          <w:lang w:val="es-MX"/>
        </w:rPr>
        <w:t>% de las veces, fueron superior las componentes</w:t>
      </w:r>
      <w:r>
        <w:rPr>
          <w:rFonts w:ascii="Arial" w:eastAsiaTheme="minorEastAsia" w:hAnsi="Arial" w:cs="Arial"/>
          <w:lang w:val="es-MX"/>
        </w:rPr>
        <w:t xml:space="preserve">. </w:t>
      </w:r>
    </w:p>
    <w:p w:rsidR="00273757" w:rsidRDefault="00273757" w:rsidP="00273757">
      <w:pPr>
        <w:pStyle w:val="NoSpacing"/>
        <w:rPr>
          <w:rFonts w:ascii="Arial" w:eastAsiaTheme="minorEastAsia" w:hAnsi="Arial" w:cs="Arial"/>
          <w:lang w:val="es-MX"/>
        </w:rPr>
      </w:pPr>
    </w:p>
    <w:p w:rsidR="00273757" w:rsidRDefault="00273757" w:rsidP="00273757">
      <w:pPr>
        <w:pStyle w:val="NoSpacing"/>
        <w:rPr>
          <w:rFonts w:ascii="Arial" w:eastAsiaTheme="minorEastAsia" w:hAnsi="Arial" w:cs="Arial"/>
          <w:b/>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rsidR="008753A6" w:rsidRDefault="008753A6" w:rsidP="00273757">
      <w:pPr>
        <w:pStyle w:val="NoSpacing"/>
        <w:rPr>
          <w:rFonts w:ascii="Arial" w:eastAsiaTheme="minorEastAsia" w:hAnsi="Arial" w:cs="Arial"/>
          <w:lang w:val="es-MX"/>
        </w:rPr>
      </w:pPr>
    </w:p>
    <w:p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rsidR="008C5ED8" w:rsidRDefault="008C5ED8" w:rsidP="00273757">
      <w:pPr>
        <w:pStyle w:val="NoSpacing"/>
        <w:rPr>
          <w:rFonts w:ascii="Arial" w:eastAsiaTheme="minorEastAsia" w:hAnsi="Arial" w:cs="Arial"/>
          <w:b/>
          <w:sz w:val="24"/>
          <w:lang w:val="es-MX"/>
        </w:rPr>
      </w:pPr>
    </w:p>
    <w:p w:rsidR="008C5ED8" w:rsidRDefault="008C5ED8" w:rsidP="00273757">
      <w:pPr>
        <w:pStyle w:val="NoSpacing"/>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generalizado, situación que se </w:t>
      </w:r>
      <w:r w:rsidR="0081253E">
        <w:rPr>
          <w:rFonts w:ascii="Arial" w:eastAsiaTheme="minorEastAsia" w:hAnsi="Arial" w:cs="Arial"/>
          <w:lang w:val="es-MX"/>
        </w:rPr>
        <w:t>presenta para el caso de un VAR.</w:t>
      </w:r>
    </w:p>
    <w:p w:rsidR="008C5ED8" w:rsidRDefault="008C5ED8" w:rsidP="00273757">
      <w:pPr>
        <w:pStyle w:val="NoSpacing"/>
        <w:rPr>
          <w:rFonts w:ascii="Arial" w:eastAsiaTheme="minorEastAsia" w:hAnsi="Arial" w:cs="Arial"/>
          <w:lang w:val="es-MX"/>
        </w:rPr>
      </w:pPr>
    </w:p>
    <w:p w:rsidR="008C5ED8" w:rsidRPr="00692F88" w:rsidRDefault="008C5ED8" w:rsidP="00273757">
      <w:pPr>
        <w:pStyle w:val="NoSpacing"/>
        <w:rPr>
          <w:rFonts w:ascii="Arial" w:eastAsiaTheme="minorEastAsia" w:hAnsi="Arial" w:cs="Arial"/>
          <w:lang w:val="es-MX"/>
        </w:rPr>
      </w:pPr>
      <w:r>
        <w:rPr>
          <w:rFonts w:ascii="Arial" w:eastAsiaTheme="minorEastAsia" w:hAnsi="Arial" w:cs="Arial"/>
          <w:lang w:val="es-MX"/>
        </w:rPr>
        <w:t>Para este caso en particular, se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Pr>
          <w:rFonts w:ascii="Arial" w:eastAsiaTheme="minorEastAsia" w:hAnsi="Arial" w:cs="Arial"/>
          <w:lang w:val="es-MX"/>
        </w:rPr>
        <w:t xml:space="preserve"> 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highlight w:val="yellow"/>
            <w:lang w:val="es-MX"/>
          </w:rPr>
          <m:t>pK</m:t>
        </m:r>
        <m:r>
          <w:rPr>
            <w:rFonts w:ascii="Cambria Math" w:eastAsiaTheme="minorEastAsia" w:hAnsi="Cambria Math" w:cs="Arial"/>
            <w:highlight w:val="yellow"/>
            <w:lang w:val="es-MX"/>
          </w:rPr>
          <m:t>+</m:t>
        </m:r>
        <m:r>
          <w:rPr>
            <w:rFonts w:ascii="Cambria Math" w:eastAsiaTheme="minorEastAsia" w:hAnsi="Cambria Math" w:cs="Arial"/>
            <w:highlight w:val="yellow"/>
          </w:rPr>
          <m:t>g</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Finalmente, los intervalos de predicción se hicieron vía </w:t>
      </w:r>
      <w:r w:rsidR="00692F88">
        <w:rPr>
          <w:rFonts w:ascii="Arial" w:eastAsiaTheme="minorEastAsia" w:hAnsi="Arial" w:cs="Arial"/>
          <w:lang w:val="es-MX"/>
        </w:rPr>
        <w:lastRenderedPageBreak/>
        <w:t xml:space="preserve">Bootstrap. El objetivo es pronosticar </w:t>
      </w:r>
      <m:oMath>
        <m:r>
          <w:rPr>
            <w:rFonts w:ascii="Cambria Math" w:eastAsiaTheme="minorEastAsia" w:hAnsi="Cambria Math" w:cs="Arial"/>
            <w:lang w:val="es-MX"/>
          </w:rPr>
          <m:t>h=24</m:t>
        </m:r>
      </m:oMath>
      <w:r w:rsidR="00692F88" w:rsidRPr="00692F88">
        <w:rPr>
          <w:rFonts w:ascii="Arial" w:eastAsiaTheme="minorEastAsia" w:hAnsi="Arial" w:cs="Arial"/>
          <w:lang w:val="es-MX"/>
        </w:rPr>
        <w:t>, evaluando el porcentaje de er</w:t>
      </w:r>
      <w:r w:rsidR="00E34ACE">
        <w:rPr>
          <w:rFonts w:ascii="Arial" w:eastAsiaTheme="minorEastAsia" w:hAnsi="Arial" w:cs="Arial"/>
          <w:lang w:val="es-MX"/>
        </w:rPr>
        <w:t>ror al finalizar el ejercicio.</w:t>
      </w:r>
    </w:p>
    <w:p w:rsidR="00692F88" w:rsidRDefault="00692F88" w:rsidP="00273757">
      <w:pPr>
        <w:pStyle w:val="NoSpacing"/>
        <w:rPr>
          <w:rFonts w:ascii="Arial" w:eastAsiaTheme="minorEastAsia" w:hAnsi="Arial" w:cs="Arial"/>
          <w:lang w:val="es-MX"/>
        </w:rPr>
      </w:pPr>
    </w:p>
    <w:p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El pronóstico con la metodología VAR se realizó como </w:t>
      </w:r>
      <w:r w:rsidR="00E34ACE">
        <w:rPr>
          <w:rFonts w:ascii="Arial" w:eastAsiaTheme="minorEastAsia" w:hAnsi="Arial" w:cs="Arial"/>
          <w:lang w:val="es-MX"/>
        </w:rPr>
        <w:t xml:space="preserve">un </w:t>
      </w:r>
      <w:r>
        <w:rPr>
          <w:rFonts w:ascii="Arial" w:eastAsiaTheme="minorEastAsia" w:hAnsi="Arial" w:cs="Arial"/>
          <w:lang w:val="es-MX"/>
        </w:rPr>
        <w:t>proceso recursivo</w:t>
      </w:r>
      <w:r w:rsidR="0081253E">
        <w:rPr>
          <w:rFonts w:ascii="Arial" w:eastAsiaTheme="minorEastAsia" w:hAnsi="Arial" w:cs="Arial"/>
          <w:lang w:val="es-MX"/>
        </w:rPr>
        <w:t xml:space="preserve"> </w:t>
      </w:r>
      <w:r w:rsidR="00E34ACE">
        <w:rPr>
          <w:rFonts w:ascii="Arial" w:eastAsiaTheme="minorEastAsia" w:hAnsi="Arial" w:cs="Arial"/>
          <w:lang w:val="es-MX"/>
        </w:rPr>
        <w:t xml:space="preserve">variando </w:t>
      </w:r>
      <w:r w:rsidR="0081253E">
        <w:rPr>
          <w:rFonts w:ascii="Arial" w:eastAsiaTheme="minorEastAsia" w:hAnsi="Arial" w:cs="Arial"/>
          <w:lang w:val="es-MX"/>
        </w:rPr>
        <w:t>la estacionalidad y la especificación del VAR</w:t>
      </w:r>
      <w:r>
        <w:rPr>
          <w:rFonts w:ascii="Arial" w:eastAsiaTheme="minorEastAsia" w:hAnsi="Arial" w:cs="Arial"/>
          <w:lang w:val="es-MX"/>
        </w:rPr>
        <w:t>, estimando</w:t>
      </w:r>
      <w:r w:rsidR="00AF5B91">
        <w:rPr>
          <w:rFonts w:ascii="Arial" w:eastAsiaTheme="minorEastAsia" w:hAnsi="Arial" w:cs="Arial"/>
          <w:lang w:val="es-MX"/>
        </w:rPr>
        <w:t xml:space="preserve"> </w:t>
      </w:r>
      <w:r w:rsidR="00AF5B91" w:rsidRPr="00AF5B91">
        <w:rPr>
          <w:rFonts w:ascii="Arial" w:eastAsiaTheme="minorEastAsia" w:hAnsi="Arial" w:cs="Arial"/>
          <w:highlight w:val="yellow"/>
          <w:lang w:val="es-MX"/>
        </w:rPr>
        <w:t>3696</w:t>
      </w:r>
      <w:r w:rsidR="0081253E">
        <w:rPr>
          <w:rFonts w:ascii="Arial" w:eastAsiaTheme="minorEastAsia" w:hAnsi="Arial" w:cs="Arial"/>
          <w:lang w:val="es-MX"/>
        </w:rPr>
        <w:t xml:space="preserve">  modelos </w:t>
      </w:r>
      <w:r w:rsidR="00E34ACE">
        <w:rPr>
          <w:rFonts w:ascii="Arial" w:eastAsiaTheme="minorEastAsia" w:hAnsi="Arial" w:cs="Arial"/>
          <w:lang w:val="es-MX"/>
        </w:rPr>
        <w:t xml:space="preserve">y </w:t>
      </w:r>
      <w:r w:rsidR="0081253E">
        <w:rPr>
          <w:rFonts w:ascii="Arial" w:eastAsiaTheme="minorEastAsia" w:hAnsi="Arial" w:cs="Arial"/>
          <w:lang w:val="es-MX"/>
        </w:rPr>
        <w:t>seleccionado los</w:t>
      </w:r>
      <w:r>
        <w:rPr>
          <w:rFonts w:ascii="Arial" w:eastAsiaTheme="minorEastAsia" w:hAnsi="Arial" w:cs="Arial"/>
          <w:lang w:val="es-MX"/>
        </w:rPr>
        <w:t xml:space="preserve"> 7 </w:t>
      </w:r>
      <w:r w:rsidR="0081253E">
        <w:rPr>
          <w:rFonts w:ascii="Arial" w:eastAsiaTheme="minorEastAsia" w:hAnsi="Arial" w:cs="Arial"/>
          <w:lang w:val="es-MX"/>
        </w:rPr>
        <w:t>que optimizaro</w:t>
      </w:r>
      <w:r>
        <w:rPr>
          <w:rFonts w:ascii="Arial" w:eastAsiaTheme="minorEastAsia" w:hAnsi="Arial" w:cs="Arial"/>
          <w:lang w:val="es-MX"/>
        </w:rPr>
        <w:t>n criterios específicos</w:t>
      </w:r>
      <w:r w:rsidR="00E34ACE">
        <w:rPr>
          <w:rFonts w:ascii="Arial" w:eastAsiaTheme="minorEastAsia" w:hAnsi="Arial" w:cs="Arial"/>
          <w:lang w:val="es-MX"/>
        </w:rPr>
        <w:t>;</w:t>
      </w:r>
      <w:r>
        <w:rPr>
          <w:rFonts w:ascii="Arial" w:eastAsiaTheme="minorEastAsia" w:hAnsi="Arial" w:cs="Arial"/>
          <w:lang w:val="es-MX"/>
        </w:rPr>
        <w:t xml:space="preserve"> integrando </w:t>
      </w:r>
      <w:r w:rsidR="00E34ACE">
        <w:rPr>
          <w:rFonts w:ascii="Arial" w:eastAsiaTheme="minorEastAsia" w:hAnsi="Arial" w:cs="Arial"/>
          <w:lang w:val="es-MX"/>
        </w:rPr>
        <w:t xml:space="preserve">finalmente </w:t>
      </w:r>
      <w:r>
        <w:rPr>
          <w:rFonts w:ascii="Arial" w:eastAsiaTheme="minorEastAsia" w:hAnsi="Arial" w:cs="Arial"/>
          <w:lang w:val="es-MX"/>
        </w:rPr>
        <w:t>los pronósticos</w:t>
      </w:r>
      <w:r w:rsidR="00E34ACE">
        <w:rPr>
          <w:rFonts w:ascii="Arial" w:eastAsiaTheme="minorEastAsia" w:hAnsi="Arial" w:cs="Arial"/>
          <w:lang w:val="es-MX"/>
        </w:rPr>
        <w:t>,</w:t>
      </w:r>
      <w:r>
        <w:rPr>
          <w:rFonts w:ascii="Arial" w:eastAsiaTheme="minorEastAsia" w:hAnsi="Arial" w:cs="Arial"/>
          <w:lang w:val="es-MX"/>
        </w:rPr>
        <w:t xml:space="preserve"> </w:t>
      </w:r>
      <w:r w:rsidR="0081253E">
        <w:rPr>
          <w:rFonts w:ascii="Arial" w:eastAsiaTheme="minorEastAsia" w:hAnsi="Arial" w:cs="Arial"/>
          <w:lang w:val="es-MX"/>
        </w:rPr>
        <w:t>denominando a tal integración como</w:t>
      </w:r>
      <w:r>
        <w:rPr>
          <w:rFonts w:ascii="Arial" w:eastAsiaTheme="minorEastAsia" w:hAnsi="Arial" w:cs="Arial"/>
          <w:lang w:val="es-MX"/>
        </w:rPr>
        <w:t xml:space="preserve"> </w:t>
      </w:r>
      <w:r w:rsidR="00E34ACE">
        <w:rPr>
          <w:rFonts w:ascii="Arial" w:eastAsiaTheme="minorEastAsia" w:hAnsi="Arial" w:cs="Arial"/>
          <w:lang w:val="es-MX"/>
        </w:rPr>
        <w:t xml:space="preserve">pronóstico el pronóstico de un </w:t>
      </w:r>
      <w:r w:rsidRPr="00E34ACE">
        <w:rPr>
          <w:rFonts w:ascii="Arial" w:eastAsiaTheme="minorEastAsia" w:hAnsi="Arial" w:cs="Arial"/>
          <w:i/>
          <w:lang w:val="es-MX"/>
        </w:rPr>
        <w:t>Integral VAR</w:t>
      </w:r>
    </w:p>
    <w:p w:rsidR="00692F88" w:rsidRDefault="00692F88" w:rsidP="00273757">
      <w:pPr>
        <w:pStyle w:val="NoSpacing"/>
        <w:rPr>
          <w:rFonts w:ascii="Arial" w:eastAsiaTheme="minorEastAsia" w:hAnsi="Arial" w:cs="Arial"/>
          <w:lang w:val="es-MX"/>
        </w:rPr>
      </w:pPr>
    </w:p>
    <w:p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Para el caso del VAR-PLS se trabajó con </w:t>
      </w:r>
      <m:oMath>
        <m:r>
          <w:rPr>
            <w:rFonts w:ascii="Cambria Math" w:eastAsiaTheme="minorEastAsia" w:hAnsi="Cambria Math" w:cs="Arial"/>
            <w:lang w:val="es-MX"/>
          </w:rPr>
          <m:t>T-h</m:t>
        </m:r>
      </m:oMath>
      <w:r>
        <w:rPr>
          <w:rFonts w:ascii="Arial" w:eastAsiaTheme="minorEastAsia" w:hAnsi="Arial" w:cs="Arial"/>
          <w:lang w:val="es-MX"/>
        </w:rPr>
        <w:t xml:space="preserve"> datos, para el caso de la selección de los VAR con </w:t>
      </w:r>
      <m:oMath>
        <m:r>
          <w:rPr>
            <w:rFonts w:ascii="Cambria Math" w:eastAsiaTheme="minorEastAsia" w:hAnsi="Cambria Math" w:cs="Arial"/>
            <w:lang w:val="es-MX"/>
          </w:rPr>
          <m:t>T-2h</m:t>
        </m:r>
      </m:oMath>
      <w:r>
        <w:rPr>
          <w:rFonts w:ascii="Arial" w:eastAsiaTheme="minorEastAsia" w:hAnsi="Arial" w:cs="Arial"/>
          <w:lang w:val="es-MX"/>
        </w:rPr>
        <w:t xml:space="preserve">, estimando hasta </w:t>
      </w:r>
      <m:oMath>
        <m:r>
          <w:rPr>
            <w:rFonts w:ascii="Cambria Math" w:eastAsiaTheme="minorEastAsia" w:hAnsi="Cambria Math" w:cs="Arial"/>
            <w:lang w:val="es-MX"/>
          </w:rPr>
          <m:t>T-h</m:t>
        </m:r>
      </m:oMath>
      <w:r>
        <w:rPr>
          <w:rFonts w:ascii="Arial" w:eastAsiaTheme="minorEastAsia" w:hAnsi="Arial" w:cs="Arial"/>
          <w:lang w:val="es-MX"/>
        </w:rPr>
        <w:t xml:space="preserve"> para posteriormente, evaluar los modelos hasta </w:t>
      </w:r>
      <m:oMath>
        <m:r>
          <w:rPr>
            <w:rFonts w:ascii="Cambria Math" w:eastAsiaTheme="minorEastAsia" w:hAnsi="Cambria Math" w:cs="Arial"/>
            <w:lang w:val="es-MX"/>
          </w:rPr>
          <m:t>T+</m:t>
        </m:r>
        <m:r>
          <w:rPr>
            <w:rFonts w:ascii="Cambria Math" w:eastAsiaTheme="minorEastAsia" w:hAnsi="Cambria Math" w:cs="Arial"/>
          </w:rPr>
          <m:t>j</m:t>
        </m:r>
        <m:r>
          <w:rPr>
            <w:rFonts w:ascii="Cambria Math" w:eastAsiaTheme="minorEastAsia" w:hAnsi="Cambria Math" w:cs="Arial"/>
            <w:lang w:val="es-MX"/>
          </w:rPr>
          <m:t>-h</m:t>
        </m:r>
      </m:oMath>
      <w:r>
        <w:rPr>
          <w:rFonts w:ascii="Arial" w:eastAsiaTheme="minorEastAsia" w:hAnsi="Arial" w:cs="Arial"/>
          <w:lang w:val="es-MX"/>
        </w:rPr>
        <w:t xml:space="preserve">, para </w:t>
      </w:r>
      <m:oMath>
        <m:r>
          <w:rPr>
            <w:rFonts w:ascii="Cambria Math" w:eastAsiaTheme="minorEastAsia" w:hAnsi="Cambria Math" w:cs="Arial"/>
            <w:lang w:val="es-MX"/>
          </w:rPr>
          <m:t>j=1,2,…,</m:t>
        </m:r>
        <m:r>
          <w:rPr>
            <w:rFonts w:ascii="Cambria Math" w:eastAsiaTheme="minorEastAsia" w:hAnsi="Cambria Math" w:cs="Arial"/>
            <w:lang w:val="es-MX"/>
          </w:rPr>
          <m:t>h</m:t>
        </m:r>
      </m:oMath>
      <w:r>
        <w:rPr>
          <w:rFonts w:ascii="Arial" w:eastAsiaTheme="minorEastAsia" w:hAnsi="Arial" w:cs="Arial"/>
          <w:lang w:val="es-MX"/>
        </w:rPr>
        <w:t>.</w:t>
      </w:r>
    </w:p>
    <w:p w:rsidR="00692F88" w:rsidRDefault="00692F88" w:rsidP="00273757">
      <w:pPr>
        <w:pStyle w:val="NoSpacing"/>
        <w:rPr>
          <w:rFonts w:ascii="Arial" w:eastAsiaTheme="minorEastAsia" w:hAnsi="Arial" w:cs="Arial"/>
          <w:lang w:val="es-MX"/>
        </w:rPr>
      </w:pPr>
    </w:p>
    <w:p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Los resultados obtenidos mostraron que el orden autorregresivo del VAR-PLS fue de</w:t>
      </w:r>
      <w:r w:rsidR="00AF5B91" w:rsidRPr="00AF5B91">
        <w:rPr>
          <w:rFonts w:ascii="Arial" w:eastAsiaTheme="minorEastAsia" w:hAnsi="Arial" w:cs="Arial"/>
          <w:highlight w:val="yellow"/>
          <w:lang w:val="es-MX"/>
        </w:rPr>
        <w:t xml:space="preserve"> 3 y existió una gran diferencia entre el error de pronóstico fuera de muestra respecto al Integral VAR, para cada una de las componentes seleccionadas</w:t>
      </w:r>
    </w:p>
    <w:p w:rsidR="00692F88" w:rsidRDefault="00692F88" w:rsidP="00273757">
      <w:pPr>
        <w:pStyle w:val="NoSpacing"/>
        <w:rPr>
          <w:rFonts w:ascii="Arial" w:eastAsiaTheme="minorEastAsia" w:hAnsi="Arial" w:cs="Arial"/>
          <w:lang w:val="es-MX"/>
        </w:rPr>
      </w:pPr>
    </w:p>
    <w:p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Ahora, visualizando cada una de las componentes, </w:t>
      </w:r>
      <w:r w:rsidR="00AF5B91" w:rsidRPr="00AF5B91">
        <w:rPr>
          <w:rFonts w:ascii="Arial" w:eastAsiaTheme="minorEastAsia" w:hAnsi="Arial" w:cs="Arial"/>
          <w:highlight w:val="yellow"/>
          <w:lang w:val="es-MX"/>
        </w:rPr>
        <w:t>en ningún caso parece que el</w:t>
      </w:r>
      <w:r w:rsidRPr="00AF5B91">
        <w:rPr>
          <w:rFonts w:ascii="Arial" w:eastAsiaTheme="minorEastAsia" w:hAnsi="Arial" w:cs="Arial"/>
          <w:highlight w:val="yellow"/>
          <w:lang w:val="es-MX"/>
        </w:rPr>
        <w:t xml:space="preserve"> V</w:t>
      </w:r>
      <w:r w:rsidR="00AF5B91" w:rsidRPr="00AF5B91">
        <w:rPr>
          <w:rFonts w:ascii="Arial" w:eastAsiaTheme="minorEastAsia" w:hAnsi="Arial" w:cs="Arial"/>
          <w:highlight w:val="yellow"/>
          <w:lang w:val="es-MX"/>
        </w:rPr>
        <w:t>AR tiene mejor comportamiento</w:t>
      </w:r>
      <w:r w:rsidRPr="00AF5B91">
        <w:rPr>
          <w:rFonts w:ascii="Arial" w:eastAsiaTheme="minorEastAsia" w:hAnsi="Arial" w:cs="Arial"/>
          <w:highlight w:val="yellow"/>
          <w:lang w:val="es-MX"/>
        </w:rPr>
        <w:t>, e</w:t>
      </w:r>
      <w:r w:rsidR="00AF5B91" w:rsidRPr="00AF5B91">
        <w:rPr>
          <w:rFonts w:ascii="Arial" w:eastAsiaTheme="minorEastAsia" w:hAnsi="Arial" w:cs="Arial"/>
          <w:highlight w:val="yellow"/>
          <w:lang w:val="es-MX"/>
        </w:rPr>
        <w:t>sto representa en promedio un 91.67</w:t>
      </w:r>
      <w:r w:rsidRPr="00AF5B91">
        <w:rPr>
          <w:rFonts w:ascii="Arial" w:eastAsiaTheme="minorEastAsia" w:hAnsi="Arial" w:cs="Arial"/>
          <w:highlight w:val="yellow"/>
          <w:lang w:val="es-MX"/>
        </w:rPr>
        <w:t>% de las veces.</w:t>
      </w:r>
    </w:p>
    <w:p w:rsidR="00692F88" w:rsidRDefault="00692F88" w:rsidP="00273757">
      <w:pPr>
        <w:pStyle w:val="NoSpacing"/>
        <w:rPr>
          <w:rFonts w:ascii="Arial" w:eastAsiaTheme="minorEastAsia" w:hAnsi="Arial" w:cs="Arial"/>
          <w:lang w:val="es-MX"/>
        </w:rPr>
      </w:pPr>
    </w:p>
    <w:p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pronóstico multivariado, ya que fue puesto a competir con un modelo recursivo que fuera de muestra, optimizó diversos criterios</w:t>
      </w:r>
      <w:r w:rsidR="00960EEA">
        <w:rPr>
          <w:rFonts w:ascii="Arial" w:eastAsiaTheme="minorEastAsia" w:hAnsi="Arial" w:cs="Arial"/>
          <w:lang w:val="es-MX"/>
        </w:rPr>
        <w:t>,</w:t>
      </w:r>
      <w:r w:rsidR="0081253E">
        <w:rPr>
          <w:rFonts w:ascii="Arial" w:eastAsiaTheme="minorEastAsia" w:hAnsi="Arial" w:cs="Arial"/>
          <w:lang w:val="es-MX"/>
        </w:rPr>
        <w:t xml:space="preserve"> siendo indistinta </w:t>
      </w:r>
      <w:r w:rsidR="00960EEA">
        <w:rPr>
          <w:rFonts w:ascii="Arial" w:eastAsiaTheme="minorEastAsia" w:hAnsi="Arial" w:cs="Arial"/>
          <w:lang w:val="es-MX"/>
        </w:rPr>
        <w:t>casi en su</w:t>
      </w:r>
      <w:r w:rsidR="0081253E">
        <w:rPr>
          <w:rFonts w:ascii="Arial" w:eastAsiaTheme="minorEastAsia" w:hAnsi="Arial" w:cs="Arial"/>
          <w:lang w:val="es-MX"/>
        </w:rPr>
        <w:t xml:space="preserve"> totalidad </w:t>
      </w:r>
      <w:r w:rsidR="00960EEA">
        <w:rPr>
          <w:rFonts w:ascii="Arial" w:eastAsiaTheme="minorEastAsia" w:hAnsi="Arial" w:cs="Arial"/>
          <w:lang w:val="es-MX"/>
        </w:rPr>
        <w:t>la componente</w:t>
      </w:r>
      <w:r w:rsidR="0081253E">
        <w:rPr>
          <w:rFonts w:ascii="Arial" w:eastAsiaTheme="minorEastAsia" w:hAnsi="Arial" w:cs="Arial"/>
          <w:lang w:val="es-MX"/>
        </w:rPr>
        <w:t xml:space="preserve"> </w:t>
      </w:r>
      <w:r w:rsidR="00960EEA">
        <w:rPr>
          <w:rFonts w:ascii="Arial" w:eastAsiaTheme="minorEastAsia" w:hAnsi="Arial" w:cs="Arial"/>
          <w:lang w:val="es-MX"/>
        </w:rPr>
        <w:t>seleccionada que se utilizó para comparar el error de pronóstico</w:t>
      </w:r>
      <w:r w:rsidR="0081253E">
        <w:rPr>
          <w:rFonts w:ascii="Arial" w:eastAsiaTheme="minorEastAsia" w:hAnsi="Arial" w:cs="Arial"/>
          <w:lang w:val="es-MX"/>
        </w:rPr>
        <w:t>.</w:t>
      </w:r>
    </w:p>
    <w:p w:rsidR="0081253E" w:rsidRDefault="0081253E" w:rsidP="00273757">
      <w:pPr>
        <w:pStyle w:val="NoSpacing"/>
        <w:rPr>
          <w:rFonts w:ascii="Arial" w:eastAsiaTheme="minorEastAsia" w:hAnsi="Arial" w:cs="Arial"/>
          <w:lang w:val="es-MX"/>
        </w:rPr>
      </w:pPr>
    </w:p>
    <w:p w:rsidR="0081253E" w:rsidRPr="0081253E" w:rsidRDefault="0081253E" w:rsidP="00273757">
      <w:pPr>
        <w:pStyle w:val="NoSpacing"/>
        <w:rPr>
          <w:rFonts w:ascii="Arial" w:eastAsiaTheme="minorEastAsia" w:hAnsi="Arial" w:cs="Arial"/>
          <w:lang w:val="es-MX"/>
        </w:rPr>
      </w:pPr>
      <w:r>
        <w:rPr>
          <w:rFonts w:ascii="Arial" w:eastAsiaTheme="minorEastAsia" w:hAnsi="Arial" w:cs="Arial"/>
          <w:lang w:val="es-MX"/>
        </w:rPr>
        <w:t>Quedan líneas futuras a trabajar como el incluir en el ejercicio de cointegración, la técnica de PLS, denotando las regularidades teóricas que esto implica, así como dentro de la perspectiva empírica, podemos construir modelos PLS-VAR que integren cada una de las componentes y</w:t>
      </w:r>
      <w:r w:rsidRPr="0081253E">
        <w:rPr>
          <w:rFonts w:ascii="Arial" w:eastAsiaTheme="minorEastAsia" w:hAnsi="Arial" w:cs="Arial"/>
          <w:lang w:val="es-MX"/>
        </w:rPr>
        <w:t xml:space="preserve">/o </w:t>
      </w:r>
      <w:r>
        <w:rPr>
          <w:rFonts w:ascii="Arial" w:eastAsiaTheme="minorEastAsia" w:hAnsi="Arial" w:cs="Arial"/>
          <w:lang w:val="es-MX"/>
        </w:rPr>
        <w:t xml:space="preserve">poner en competencia la metodología VAR-PLS con VAR que mezclen las variables que intervienen dentro de un pronóstico. </w:t>
      </w:r>
    </w:p>
    <w:p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431F8"/>
    <w:rsid w:val="000A33A3"/>
    <w:rsid w:val="000B022E"/>
    <w:rsid w:val="000B4448"/>
    <w:rsid w:val="00141471"/>
    <w:rsid w:val="0014579A"/>
    <w:rsid w:val="001A1AD0"/>
    <w:rsid w:val="001C0689"/>
    <w:rsid w:val="001E5648"/>
    <w:rsid w:val="00243D3E"/>
    <w:rsid w:val="00273757"/>
    <w:rsid w:val="002A3A66"/>
    <w:rsid w:val="002D0123"/>
    <w:rsid w:val="002F2A8C"/>
    <w:rsid w:val="00350A18"/>
    <w:rsid w:val="00405624"/>
    <w:rsid w:val="00462895"/>
    <w:rsid w:val="00462EA2"/>
    <w:rsid w:val="004938FE"/>
    <w:rsid w:val="004A592E"/>
    <w:rsid w:val="004B221D"/>
    <w:rsid w:val="004E6339"/>
    <w:rsid w:val="00522A3C"/>
    <w:rsid w:val="005462E9"/>
    <w:rsid w:val="00570C90"/>
    <w:rsid w:val="005A654B"/>
    <w:rsid w:val="00611704"/>
    <w:rsid w:val="00633EB5"/>
    <w:rsid w:val="00663304"/>
    <w:rsid w:val="00692F88"/>
    <w:rsid w:val="0069568E"/>
    <w:rsid w:val="00697550"/>
    <w:rsid w:val="00697843"/>
    <w:rsid w:val="006A2327"/>
    <w:rsid w:val="006D0C0C"/>
    <w:rsid w:val="006D1C97"/>
    <w:rsid w:val="006D3B1E"/>
    <w:rsid w:val="006F071E"/>
    <w:rsid w:val="006F3F68"/>
    <w:rsid w:val="007056DA"/>
    <w:rsid w:val="00710D49"/>
    <w:rsid w:val="00720D4A"/>
    <w:rsid w:val="00751290"/>
    <w:rsid w:val="007F7BD0"/>
    <w:rsid w:val="0081253E"/>
    <w:rsid w:val="00826439"/>
    <w:rsid w:val="00832DED"/>
    <w:rsid w:val="008614CD"/>
    <w:rsid w:val="008753A6"/>
    <w:rsid w:val="008A1EBD"/>
    <w:rsid w:val="008C5ED8"/>
    <w:rsid w:val="008D59B9"/>
    <w:rsid w:val="008E1590"/>
    <w:rsid w:val="00960EEA"/>
    <w:rsid w:val="00A1799A"/>
    <w:rsid w:val="00AA3CBB"/>
    <w:rsid w:val="00AF5B91"/>
    <w:rsid w:val="00B0391F"/>
    <w:rsid w:val="00B22482"/>
    <w:rsid w:val="00B3408C"/>
    <w:rsid w:val="00B657DC"/>
    <w:rsid w:val="00B7124B"/>
    <w:rsid w:val="00C25D24"/>
    <w:rsid w:val="00CB069E"/>
    <w:rsid w:val="00CC50E8"/>
    <w:rsid w:val="00D07716"/>
    <w:rsid w:val="00D12C8C"/>
    <w:rsid w:val="00D31DA1"/>
    <w:rsid w:val="00DD4240"/>
    <w:rsid w:val="00DD6688"/>
    <w:rsid w:val="00DE1C6B"/>
    <w:rsid w:val="00E1299C"/>
    <w:rsid w:val="00E34ACE"/>
    <w:rsid w:val="00E42B4C"/>
    <w:rsid w:val="00E8405E"/>
    <w:rsid w:val="00F31660"/>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emf"/><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22D0-398D-42AA-A12F-12463C24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16</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kiko</cp:lastModifiedBy>
  <cp:revision>25</cp:revision>
  <dcterms:created xsi:type="dcterms:W3CDTF">2012-05-19T15:37:00Z</dcterms:created>
  <dcterms:modified xsi:type="dcterms:W3CDTF">2012-06-08T00:04:00Z</dcterms:modified>
</cp:coreProperties>
</file>