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afaf9" w:val="clear"/>
        <w:spacing w:after="160" w:before="300" w:lineRule="auto"/>
        <w:rPr>
          <w:sz w:val="24"/>
          <w:szCs w:val="24"/>
        </w:rPr>
      </w:pPr>
      <w:r w:rsidDel="00000000" w:rsidR="00000000" w:rsidRPr="00000000">
        <w:rPr>
          <w:sz w:val="24"/>
          <w:szCs w:val="24"/>
          <w:rtl w:val="0"/>
        </w:rPr>
        <w:t xml:space="preserve">The United Nations Framework Convention on Climate Change (UNFCCC) has been criticized for its inability to deliver climate justice effectively. A coalition of over 200 organizations, including Climate Action Network (CAN), Global Campaign to Demand Climate Justice (DCJ), and the Women and Gender Constituency (WGC), has called for urgent reforms. Key proposals include:</w:t>
      </w:r>
    </w:p>
    <w:p w:rsidR="00000000" w:rsidDel="00000000" w:rsidP="00000000" w:rsidRDefault="00000000" w:rsidRPr="00000000" w14:paraId="00000002">
      <w:pPr>
        <w:numPr>
          <w:ilvl w:val="0"/>
          <w:numId w:val="1"/>
        </w:numPr>
        <w:pBdr>
          <w:top w:color="auto" w:space="0" w:sz="0" w:val="none"/>
          <w:bottom w:color="auto" w:space="0" w:sz="0" w:val="none"/>
          <w:right w:color="auto" w:space="0" w:sz="0" w:val="none"/>
          <w:between w:color="auto" w:space="0" w:sz="0" w:val="none"/>
        </w:pBdr>
        <w:shd w:fill="fafaf9" w:val="clear"/>
        <w:spacing w:after="0" w:afterAutospacing="0" w:before="120" w:lineRule="auto"/>
        <w:ind w:left="720" w:hanging="360"/>
      </w:pPr>
      <w:r w:rsidDel="00000000" w:rsidR="00000000" w:rsidRPr="00000000">
        <w:rPr>
          <w:b w:val="1"/>
          <w:sz w:val="24"/>
          <w:szCs w:val="24"/>
          <w:rtl w:val="0"/>
        </w:rPr>
        <w:t xml:space="preserve">Restoring Power &amp; Equity:</w:t>
      </w:r>
      <w:r w:rsidDel="00000000" w:rsidR="00000000" w:rsidRPr="00000000">
        <w:rPr>
          <w:sz w:val="24"/>
          <w:szCs w:val="24"/>
          <w:rtl w:val="0"/>
        </w:rPr>
        <w:t xml:space="preserve"> Implement majority-based decision-making when consensus fails to prevent a few countries from blocking progress. Ensure integrity of host countries and COP Presidencies by demonstrating tangible progress on climate action.</w:t>
      </w:r>
    </w:p>
    <w:p w:rsidR="00000000" w:rsidDel="00000000" w:rsidP="00000000" w:rsidRDefault="00000000" w:rsidRPr="00000000" w14:paraId="00000003">
      <w:pPr>
        <w:numPr>
          <w:ilvl w:val="0"/>
          <w:numId w:val="1"/>
        </w:numPr>
        <w:pBdr>
          <w:top w:color="auto" w:space="0" w:sz="0" w:val="none"/>
          <w:bottom w:color="auto" w:space="0" w:sz="0" w:val="none"/>
          <w:right w:color="auto" w:space="0" w:sz="0" w:val="none"/>
          <w:between w:color="auto" w:space="0" w:sz="0" w:val="none"/>
        </w:pBdr>
        <w:shd w:fill="fafaf9" w:val="clear"/>
        <w:spacing w:after="0" w:afterAutospacing="0" w:before="0" w:beforeAutospacing="0" w:lineRule="auto"/>
        <w:ind w:left="720" w:hanging="360"/>
      </w:pPr>
      <w:r w:rsidDel="00000000" w:rsidR="00000000" w:rsidRPr="00000000">
        <w:rPr>
          <w:b w:val="1"/>
          <w:sz w:val="24"/>
          <w:szCs w:val="24"/>
          <w:rtl w:val="0"/>
        </w:rPr>
        <w:t xml:space="preserve">Ending Corporate Capture:</w:t>
      </w:r>
      <w:r w:rsidDel="00000000" w:rsidR="00000000" w:rsidRPr="00000000">
        <w:rPr>
          <w:sz w:val="24"/>
          <w:szCs w:val="24"/>
          <w:rtl w:val="0"/>
        </w:rPr>
        <w:t xml:space="preserve"> Establish a Conflict of Interest Policy to protect against corporate interference, especially from fossil fuel industries. End undue influence of polluting industry representatives in official spaces.</w:t>
      </w:r>
    </w:p>
    <w:p w:rsidR="00000000" w:rsidDel="00000000" w:rsidP="00000000" w:rsidRDefault="00000000" w:rsidRPr="00000000" w14:paraId="00000004">
      <w:pPr>
        <w:numPr>
          <w:ilvl w:val="0"/>
          <w:numId w:val="1"/>
        </w:numPr>
        <w:pBdr>
          <w:top w:color="auto" w:space="0" w:sz="0" w:val="none"/>
          <w:bottom w:color="auto" w:space="0" w:sz="0" w:val="none"/>
          <w:right w:color="auto" w:space="0" w:sz="0" w:val="none"/>
          <w:between w:color="auto" w:space="0" w:sz="0" w:val="none"/>
        </w:pBdr>
        <w:shd w:fill="fafaf9" w:val="clear"/>
        <w:spacing w:after="0" w:afterAutospacing="0" w:before="0" w:beforeAutospacing="0" w:lineRule="auto"/>
        <w:ind w:left="720" w:hanging="360"/>
      </w:pPr>
      <w:r w:rsidDel="00000000" w:rsidR="00000000" w:rsidRPr="00000000">
        <w:rPr>
          <w:b w:val="1"/>
          <w:sz w:val="24"/>
          <w:szCs w:val="24"/>
          <w:rtl w:val="0"/>
        </w:rPr>
        <w:t xml:space="preserve">Transparency and Accountability:</w:t>
      </w:r>
      <w:r w:rsidDel="00000000" w:rsidR="00000000" w:rsidRPr="00000000">
        <w:rPr>
          <w:sz w:val="24"/>
          <w:szCs w:val="24"/>
          <w:rtl w:val="0"/>
        </w:rPr>
        <w:t xml:space="preserve"> Strengthen the UNFCCC compliance mechanism to ensure effective implementation of national commitments. Improve transparency by guaranteeing access to documents and negotiation rooms for observers.</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hd w:fill="fafaf9" w:val="clear"/>
        <w:spacing w:after="0" w:afterAutospacing="0" w:before="0" w:beforeAutospacing="0" w:lineRule="auto"/>
        <w:ind w:left="720" w:hanging="360"/>
      </w:pPr>
      <w:r w:rsidDel="00000000" w:rsidR="00000000" w:rsidRPr="00000000">
        <w:rPr>
          <w:b w:val="1"/>
          <w:sz w:val="24"/>
          <w:szCs w:val="24"/>
          <w:rtl w:val="0"/>
        </w:rPr>
        <w:t xml:space="preserve">Human Rights Protection:</w:t>
      </w:r>
      <w:r w:rsidDel="00000000" w:rsidR="00000000" w:rsidRPr="00000000">
        <w:rPr>
          <w:sz w:val="24"/>
          <w:szCs w:val="24"/>
          <w:rtl w:val="0"/>
        </w:rPr>
        <w:t xml:space="preserve"> Respect and protect the rights to assembly, freedom of speech, and participation. Establish an independent focal point for human rights issues to address threats and harassment faced by observers and delegates.</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hd w:fill="fafaf9" w:val="clear"/>
        <w:spacing w:after="120" w:before="0" w:beforeAutospacing="0" w:lineRule="auto"/>
        <w:ind w:left="720" w:hanging="360"/>
      </w:pPr>
      <w:r w:rsidDel="00000000" w:rsidR="00000000" w:rsidRPr="00000000">
        <w:rPr>
          <w:b w:val="1"/>
          <w:sz w:val="24"/>
          <w:szCs w:val="24"/>
          <w:rtl w:val="0"/>
        </w:rPr>
        <w:t xml:space="preserve">International Climate Governance:</w:t>
      </w:r>
      <w:r w:rsidDel="00000000" w:rsidR="00000000" w:rsidRPr="00000000">
        <w:rPr>
          <w:sz w:val="24"/>
          <w:szCs w:val="24"/>
          <w:rtl w:val="0"/>
        </w:rPr>
        <w:t xml:space="preserve"> Strengthen synergies with the Rio Conventions and build a climate regime centralized around international obligations. Scale up climate action beyond the UNFCCC by strengthening complementary efforts such as the Plastics Treaty and the Fossil Fuel Non-Proliferation Treaty.</w:t>
      </w:r>
    </w:p>
    <w:p w:rsidR="00000000" w:rsidDel="00000000" w:rsidP="00000000" w:rsidRDefault="00000000" w:rsidRPr="00000000" w14:paraId="0000000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