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dfaf15173689abc3a7d0f0d81c188718521830"/>
    <w:p>
      <w:pPr>
        <w:pStyle w:val="Heading1"/>
      </w:pPr>
      <w:r>
        <w:t xml:space="preserve">Appendix F - Coaching Overlays and Stable Live UI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Adapts board-first live UI and accessibility requirements to the Lichess fork.</w:t>
      </w:r>
    </w:p>
    <w:bookmarkEnd w:id="20"/>
    <w:bookmarkStart w:id="21" w:name="f.2-ui-principles"/>
    <w:p>
      <w:pPr>
        <w:pStyle w:val="Heading2"/>
      </w:pPr>
      <w:r>
        <w:t xml:space="preserve">F.2 UI principles</w:t>
      </w:r>
    </w:p>
    <w:p>
      <w:pPr>
        <w:pStyle w:val="FirstParagraph"/>
      </w:pPr>
      <w:r>
        <w:t xml:space="preserve">UI-L1-001: Board-first; the board remains the primary play surface.</w:t>
      </w:r>
      <w:r>
        <w:br/>
      </w:r>
      <w:r>
        <w:t xml:space="preserve">UI-L1-002: One active card and one primary visual idea by default.</w:t>
      </w:r>
      <w:r>
        <w:br/>
      </w:r>
      <w:r>
        <w:t xml:space="preserve">UI-L1-003: Text budgets enforced by UI/schema, not AI discretion.</w:t>
      </w:r>
      <w:r>
        <w:br/>
      </w:r>
      <w:r>
        <w:t xml:space="preserve">UI-L1-004: Mobile keeps board primary and uses bottom/adjacent card/sheet.</w:t>
      </w:r>
      <w:r>
        <w:br/>
      </w:r>
      <w:r>
        <w:t xml:space="preserve">UI-L1-005: Color must never be the only signal. Offset Count needs icon/text redundancy.</w:t>
      </w:r>
      <w:r>
        <w:br/>
      </w:r>
      <w:r>
        <w:t xml:space="preserve">UI-L1-006: Accessibility features are baseline and not charged as coaching.</w:t>
      </w:r>
      <w:r>
        <w:br/>
      </w:r>
      <w:r>
        <w:t xml:space="preserve">UI-L1-007: Client navigation is display-only; server decides state, tokens, coaching, result, audits.</w:t>
      </w:r>
    </w:p>
    <w:bookmarkEnd w:id="21"/>
    <w:bookmarkStart w:id="22" w:name="f.3-stable-ui-surfaces"/>
    <w:p>
      <w:pPr>
        <w:pStyle w:val="Heading2"/>
      </w:pPr>
      <w:r>
        <w:t xml:space="preserve">F.3 Stable UI surfaces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Higher-level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play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Board, clocks, move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dots, rings, arrows, eval chip by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Game/coach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summary and source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Collapsed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Reason/line if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Hidden/minimal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Motif, plan, counterplay tabs.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Opening/Endgame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Tablebase/proof when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before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1/2/3 candidates and comparisons.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Hidden/compact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concise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Post-game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Rating-neutral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review/drills.</w:t>
            </w:r>
          </w:p>
        </w:tc>
      </w:tr>
    </w:tbl>
    <w:bookmarkEnd w:id="22"/>
    <w:bookmarkStart w:id="23" w:name="f.4-live-board-layout"/>
    <w:p>
      <w:pPr>
        <w:pStyle w:val="Heading2"/>
      </w:pPr>
      <w:r>
        <w:t xml:space="preserve">F.4 Live board layout</w:t>
      </w:r>
    </w:p>
    <w:p>
      <w:pPr>
        <w:pStyle w:val="FirstParagraph"/>
      </w:pPr>
      <w:r>
        <w:t xml:space="preserve">UI-L1-010: Desktop live play should form a three-column rectangle: level controls left, board/eval/actions centre, Moves/Coach/Chat/Search right.</w:t>
      </w:r>
      <w:r>
        <w:br/>
      </w:r>
      <w:r>
        <w:t xml:space="preserve">UI-L1-011: Side cards should align vertically with board/header/action area.</w:t>
      </w:r>
      <w:r>
        <w:br/>
      </w:r>
      <w:r>
        <w:t xml:space="preserve">UI-L1-012: Board header combines live/casual/rated/time-control/player status compactly.</w:t>
      </w:r>
      <w:r>
        <w:br/>
      </w:r>
      <w:r>
        <w:t xml:space="preserve">UI-L1-013: Eval bar, if shown, should align with board top/bottom and have accessible alternative.</w:t>
      </w:r>
      <w:r>
        <w:br/>
      </w:r>
      <w:r>
        <w:t xml:space="preserve">UI-L1-014: Draw/takeback/add-time/report/resign controls should sit directly under board where available.</w:t>
      </w:r>
      <w:r>
        <w:br/>
      </w:r>
      <w:r>
        <w:t xml:space="preserve">UI-L1-015: Keyboard move entry defaults off for new accounts.</w:t>
      </w:r>
      <w:r>
        <w:br/>
      </w:r>
      <w:r>
        <w:t xml:space="preserve">UI-L1-016: Mobile makes board full phone width where possible with Moves/Coach/Chat/Search/Level tabs.</w:t>
      </w:r>
    </w:p>
    <w:bookmarkEnd w:id="23"/>
    <w:bookmarkStart w:id="24" w:name="f.5-overlay-rules"/>
    <w:p>
      <w:pPr>
        <w:pStyle w:val="Heading2"/>
      </w:pPr>
      <w:r>
        <w:t xml:space="preserve">F.5 Overlay rules</w:t>
      </w:r>
    </w:p>
    <w:p>
      <w:pPr>
        <w:pStyle w:val="FirstParagraph"/>
      </w:pPr>
      <w:r>
        <w:t xml:space="preserve">UI-L1-020: Overlays must not interfere with legal move input, premoves, drag/drop, keyboard entry, or accessibility.</w:t>
      </w:r>
      <w:r>
        <w:br/>
      </w:r>
      <w:r>
        <w:t xml:space="preserve">UI-L1-021: Candidate arrows, rings, Offset markers, and warning badges clear on move, board mismatch, stale payload, or suppression.</w:t>
      </w:r>
      <w:r>
        <w:br/>
      </w:r>
      <w:r>
        <w:t xml:space="preserve">UI-L1-022: Overlay payloads include game ID, ply, board state key, perspective, feature key, level, visibility, TTL/staleness, audit ID.</w:t>
      </w:r>
      <w:r>
        <w:br/>
      </w:r>
      <w:r>
        <w:t xml:space="preserve">UI-L1-023: Client must not construct stronger help by combining hidden/debug data.</w:t>
      </w:r>
      <w:r>
        <w:br/>
      </w:r>
      <w:r>
        <w:t xml:space="preserve">UI-L1-024: Raw Stockfish lines may not be shown unless server sends approved display payload.</w:t>
      </w:r>
    </w:p>
    <w:bookmarkEnd w:id="24"/>
    <w:bookmarkStart w:id="25" w:name="f.6-landing-and-review-surfaces"/>
    <w:p>
      <w:pPr>
        <w:pStyle w:val="Heading2"/>
      </w:pPr>
      <w:r>
        <w:t xml:space="preserve">F.6 Landing and review surfaces</w:t>
      </w:r>
    </w:p>
    <w:p>
      <w:pPr>
        <w:pStyle w:val="FirstParagraph"/>
      </w:pPr>
      <w:r>
        <w:t xml:space="preserve">UI-L1-030: Landing supports Hero, Trust strip, difference section, How it works, Product proof, Pricing, FAQ, Final CTA.</w:t>
      </w:r>
      <w:r>
        <w:br/>
      </w:r>
      <w:r>
        <w:t xml:space="preserve">UI-L1-031: Landing copy and offer/pricing/FAQ/variant/ad/summary/play-window wording comes from marketing config, not frontend-only hardcoding.</w:t>
      </w:r>
      <w:r>
        <w:br/>
      </w:r>
      <w:r>
        <w:t xml:space="preserve">UI-L1-032: Public pricing shows four-week billed amount first and weekly equivalent second, with fairness footnote.</w:t>
      </w:r>
      <w:r>
        <w:br/>
      </w:r>
      <w:r>
        <w:t xml:space="preserve">UI-L1-033: Top-of-page Create account and Log in controls are required.</w:t>
      </w:r>
      <w:r>
        <w:br/>
      </w:r>
      <w:r>
        <w:t xml:space="preserve">UI-L1-040: Review displays result/termination at top and behaves like a post-game board experience.</w:t>
      </w:r>
      <w:r>
        <w:br/>
      </w:r>
      <w:r>
        <w:t xml:space="preserve">UI-L1-041: Review-legal coaching options live in Coach/Level interactions and must not mutate live fairness state.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