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pendix-k---target-level-mode"/>
    <w:p>
      <w:pPr>
        <w:pStyle w:val="Heading1"/>
      </w:pPr>
      <w:r>
        <w:t xml:space="preserve">Appendix K - Target Level Mode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Target Level practice mode and isolation.</w:t>
      </w:r>
    </w:p>
    <w:p>
      <w:pPr>
        <w:pStyle w:val="BodyText"/>
      </w:pPr>
      <w:r>
        <w:t xml:space="preserve">TARGET-L1-001: Target Level is player-selected practice context, not Rating Level and not normal ECR input.</w:t>
      </w:r>
      <w:r>
        <w:br/>
      </w:r>
      <w:r>
        <w:t xml:space="preserve">TARGET-L1-002: MVP Target games set</w:t>
      </w:r>
      <w:r>
        <w:t xml:space="preserve"> </w:t>
      </w:r>
      <w:r>
        <w:rPr>
          <w:rStyle w:val="VerbatimChar"/>
        </w:rPr>
        <w:t xml:space="preserve">normal_ecr_changed=false</w:t>
      </w:r>
      <w:r>
        <w:t xml:space="preserve"> </w:t>
      </w:r>
      <w:r>
        <w:t xml:space="preserve">and update only hidden Target shadow rating if enabled.</w:t>
      </w:r>
      <w:r>
        <w:br/>
      </w:r>
      <w:r>
        <w:t xml:space="preserve">TARGET-L1-003: Target Mode must not search Normal EvenChess queue.</w:t>
      </w:r>
      <w:r>
        <w:br/>
      </w:r>
      <w:r>
        <w:t xml:space="preserve">TARGET-L1-004: Adjacent Target Level widening requires explicit UI confirmation.</w:t>
      </w:r>
      <w:r>
        <w:br/>
      </w:r>
      <w:r>
        <w:t xml:space="preserve">TARGET-L1-005: Target Mode is labelled in lobby, header, result, and review.</w:t>
      </w:r>
      <w:r>
        <w:br/>
      </w:r>
      <w:r>
        <w:t xml:space="preserve">TARGET-L1-006: Target games do not contribute to normal ECR leaderboard eligibility.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Normal EvenChess.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normal ECR update in MVP.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hidden target shadow rating.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target Set Level policy; still server-authorized/audited.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Product-owner decision; may consume resources but cannot affect fairness.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Reviewable; performance online-game windows exclude non-online/target/bot unless approved.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players see Target Mode and level contract.</w:t>
            </w:r>
          </w:p>
        </w:tc>
      </w:tr>
    </w:tbl>
    <w:p>
      <w:pPr>
        <w:pStyle w:val="BodyText"/>
      </w:pPr>
      <w:r>
        <w:t xml:space="preserve">Stage 1 should only preserve taxonomy/metadata space, not implement full Target Mode. Tests: no ECR mutation, queue separation, widening confirmation, UI visibility, summary non-mutation, token/subscription non-effect.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