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5be201e93e5af4b65ddc73fd3ba0b4cf455e59"/>
    <w:p>
      <w:pPr>
        <w:pStyle w:val="Heading1"/>
      </w:pPr>
      <w:r>
        <w:t xml:space="preserve">Appendix L - Stockfish Infrastructure and Legal Engine Help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server-side Stockfish/engine help boundaries.</w:t>
      </w:r>
    </w:p>
    <w:p>
      <w:pPr>
        <w:pStyle w:val="BodyText"/>
      </w:pPr>
      <w:r>
        <w:t xml:space="preserve">ENGINE-L1-001: Stockfish must run behind an internal Engine Gateway for live EvenChess assistance.</w:t>
      </w:r>
      <w:r>
        <w:br/>
      </w:r>
      <w:r>
        <w:t xml:space="preserve">ENGINE-L1-002: Clients never receive unrestricted raw engine access.</w:t>
      </w:r>
      <w:r>
        <w:br/>
      </w:r>
      <w:r>
        <w:t xml:space="preserve">ENGINE-L1-003: Every job uses approved depth/nodes/movetime/MultiPV/thread/hash limits by level/time control.</w:t>
      </w:r>
      <w:r>
        <w:br/>
      </w:r>
      <w:r>
        <w:t xml:space="preserve">ENGINE-L1-004: Live/post-game queues, caching, cancellation, timeout, fallback, degraded states are required.</w:t>
      </w:r>
      <w:r>
        <w:br/>
      </w:r>
      <w:r>
        <w:t xml:space="preserve">ENGINE-L1-005: Engine binary/source/version/hash must be recorded.</w:t>
      </w:r>
      <w:r>
        <w:br/>
      </w:r>
      <w:r>
        <w:t xml:space="preserve">ENGINE-L1-006: GPL/license obligations must be preserved if distributed.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access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live engine candidate; deterministic/local/hybrid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single candidate; MultiPV=1 or equivalent.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two-candidate 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three-candidate guidance.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eval/WDL may appear; approximate label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bounded branch 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Richest bounded profile, still controlled and compact.</w:t>
            </w:r>
          </w:p>
        </w:tc>
      </w:tr>
    </w:tbl>
    <w:p>
      <w:pPr>
        <w:pStyle w:val="BodyText"/>
      </w:pPr>
      <w:r>
        <w:t xml:space="preserve">The Engine Gateway accepts game/player/board/ply/perspective/requested feature/Set Level/policy/time/clock/profile/cancellation token and returns bounded truth packets with candidate set, allowed eval/lines/proofs, stale/degraded/fallback status, job ID, and audit metadata.</w:t>
      </w:r>
    </w:p>
    <w:p>
      <w:pPr>
        <w:pStyle w:val="BodyText"/>
      </w:pPr>
      <w:r>
        <w:t xml:space="preserve">Codex must inspect lila/fishnet/analysis/tablebase before building a new service. If reusable, wrap safely; if not, implement an EvenChess gateway and hook narrowly. Do not expose browser Stockfish as live rated help. Required tests: endpoint security, profile validation, no raw engine payloads, cancellation/stale, cache correctness, fallback, candidate counts, L8 labels, license inventory.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