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f169f6238e6f948a75c520f2cf08aae177ed7a0"/>
    <w:p>
      <w:pPr>
        <w:pStyle w:val="Heading1"/>
      </w:pPr>
      <w:r>
        <w:t xml:space="preserve">Appendix N - Subscriptions, Tokens, Ads, and Monetisation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Preserves Amendment 1 monetisation/token requirements.</w:t>
      </w:r>
    </w:p>
    <w:p>
      <w:pPr>
        <w:pStyle w:val="BodyText"/>
      </w:pPr>
      <w:r>
        <w:t xml:space="preserve">Monetisation changes access, quotas, and convenience only. It must not change rated fairness.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Plan/state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account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game tokens, 3 full-quality match summaries, 1 performance-summary token unlocked after 10 completed games.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ad-supported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watch rewarded ads for game tokens; earned ad game-token cap =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$2.50 AUD/week, billed every 4 weeks at $10 AUD; ad-free game access subject to reasonable-use/abuse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 AUD/week, billed every 4 weeks at $16 AUD; Standard plus 10 match summaries/day and 1 performance summary/day.</w:t>
            </w:r>
          </w:p>
        </w:tc>
      </w:tr>
    </w:tbl>
    <w:bookmarkEnd w:id="20"/>
    <w:bookmarkStart w:id="21" w:name="n.3-account-rules"/>
    <w:p>
      <w:pPr>
        <w:pStyle w:val="Heading2"/>
      </w:pPr>
      <w:r>
        <w:t xml:space="preserve">N.3 Account rules</w:t>
      </w:r>
    </w:p>
    <w:p>
      <w:pPr>
        <w:pStyle w:val="FirstParagraph"/>
      </w:pPr>
      <w:r>
        <w:t xml:space="preserve">TOKEN-L1-001: Accounts are email/password based unless equivalent secure path satisfies requirements.</w:t>
      </w:r>
      <w:r>
        <w:br/>
      </w:r>
      <w:r>
        <w:t xml:space="preserve">TOKEN-L1-002: Users choose username linked to email/account.</w:t>
      </w:r>
      <w:r>
        <w:br/>
      </w:r>
      <w:r>
        <w:t xml:space="preserve">TOKEN-L1-003: Same email cannot create another active account.</w:t>
      </w:r>
      <w:r>
        <w:br/>
      </w:r>
      <w:r>
        <w:t xml:space="preserve">TOKEN-L1-004: Reused closed-account email receives no onboarding tokens.</w:t>
      </w:r>
      <w:r>
        <w:br/>
      </w:r>
      <w:r>
        <w:t xml:space="preserve">TOKEN-L1-005: Multiple accounts may exist but each has separate ECR, tokens, subscriptions, quotas, leaderboard eligibility.</w:t>
      </w:r>
      <w:r>
        <w:br/>
      </w:r>
      <w:r>
        <w:t xml:space="preserve">TOKEN-L1-006: Tokens/quotas are non-transferable.</w:t>
      </w:r>
      <w:r>
        <w:br/>
      </w:r>
      <w:r>
        <w:t xml:space="preserve">TOKEN-L1-007: Leaderboard eligibility requires enough games/rating certainty.</w:t>
      </w:r>
    </w:p>
    <w:bookmarkEnd w:id="21"/>
    <w:bookmarkStart w:id="22" w:name="n.4-rewarded-ads-and-token-consumption"/>
    <w:p>
      <w:pPr>
        <w:pStyle w:val="Heading2"/>
      </w:pPr>
      <w:r>
        <w:t xml:space="preserve">N.4 Rewarded ads and token consumption</w:t>
      </w:r>
    </w:p>
    <w:p>
      <w:pPr>
        <w:pStyle w:val="FirstParagraph"/>
      </w:pPr>
      <w:r>
        <w:t xml:space="preserve">Rewarded ad completion grants 1 game token; free accounts hold maximum 3 earned ad tokens; full bank blocks another token ad. Tokens are consumed only when a valid game starts and reaches meaningful play. Failed queue does not consume. Opponent abort before meaningful play does not consume or is refunded. Token holder abort after accepting/meaningful play may consume or trigger cooldown. Platform outage aborts do not consume.</w:t>
      </w:r>
    </w:p>
    <w:bookmarkEnd w:id="22"/>
    <w:bookmarkStart w:id="23" w:name="n.6-fairness-boundary"/>
    <w:p>
      <w:pPr>
        <w:pStyle w:val="Heading2"/>
      </w:pPr>
      <w:r>
        <w:t xml:space="preserve">N.6 Fairness boundary</w:t>
      </w:r>
    </w:p>
    <w:p>
      <w:pPr>
        <w:pStyle w:val="FirstParagraph"/>
      </w:pPr>
      <w:r>
        <w:t xml:space="preserve">SUB-L1-001: Subscription, ads, tokens, quotas do not bypass fairness.</w:t>
      </w:r>
      <w:r>
        <w:br/>
      </w:r>
      <w:r>
        <w:t xml:space="preserve">SUB-L1-002: Payment must not change Set Level, Used Level, Assistance Load, Used Offset, ECR, matchmaking fairness, Stockfish profile, AI exactness, Target isolation, or live coaching strength.</w:t>
      </w:r>
      <w:r>
        <w:br/>
      </w:r>
      <w:r>
        <w:t xml:space="preserve">SUB-L1-003: Access/quota can change who starts games or gets summaries; rated fairness remains unchanged once game starts.</w:t>
      </w:r>
      <w:r>
        <w:br/>
      </w:r>
      <w:r>
        <w:t xml:space="preserve">SUB-L1-004: Premium is never stronger live help.</w:t>
      </w:r>
    </w:p>
    <w:p>
      <w:pPr>
        <w:pStyle w:val="BodyText"/>
      </w:pPr>
      <w:r>
        <w:t xml:space="preserve">MVP excludes phone verification, device/session risk scoring, same-IP creation limits, high-risk cluster token delays unless later approved. Tests cover email/token eligibility, caps, consumption/refund, and fairness non-effect.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2026-05-28T09:49:13Z</dcterms:created>
  <dcterms:modified xsi:type="dcterms:W3CDTF">2026-05-28T09:49:13Z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