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ef4be5b9dee1b28ed28c0a225550dccbfbeca9"/>
    <w:p>
      <w:pPr>
        <w:pStyle w:val="Heading1"/>
      </w:pPr>
      <w:r>
        <w:t xml:space="preserve">Appendix O - Advertising Readiness, Landing Pages, and Funnel Control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appendix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Preserves Amendment 2 marketing/funnel requirements.</w:t>
      </w:r>
    </w:p>
    <w:p>
      <w:pPr>
        <w:pStyle w:val="BodyText"/>
      </w:pPr>
      <w:r>
        <w:t xml:space="preserve">MKT-L1-001: Marketing config, variants, windows, subscriptions, ads, tokens, offers, prompts do not bypass fairness.</w:t>
      </w:r>
      <w:r>
        <w:br/>
      </w:r>
      <w:r>
        <w:t xml:space="preserve">MKT-L1-002: Advertising/funnel control cannot alter Set Level, Used Level, Assistance Load, Used Offset, ECR, matchmaking fairness, live strength, Target isolation, Stockfish exposure, AI exactness, or coaching permission.</w:t>
      </w:r>
      <w:r>
        <w:br/>
      </w:r>
      <w:r>
        <w:t xml:space="preserve">MKT-L1-003: Paid plans change access/quota/convenience/review frequency, not live rated strength.</w:t>
      </w:r>
      <w:r>
        <w:br/>
      </w:r>
      <w:r>
        <w:t xml:space="preserve">MKT-L1-004: Campaign variants change copy order/emphasis only.</w:t>
      </w:r>
      <w:r>
        <w:br/>
      </w:r>
      <w:r>
        <w:t xml:space="preserve">MKT-L1-005: Public copy must not imply cheating, hidden engine use, off-platform assistance, or stronger paid live help.</w:t>
      </w:r>
    </w:p>
    <w:bookmarkEnd w:id="20"/>
    <w:bookmarkStart w:id="21" w:name="o.3-marketing-config-source"/>
    <w:p>
      <w:pPr>
        <w:pStyle w:val="Heading2"/>
      </w:pPr>
      <w:r>
        <w:t xml:space="preserve">O.3 Marketing config source</w:t>
      </w:r>
    </w:p>
    <w:p>
      <w:pPr>
        <w:pStyle w:val="FirstParagraph"/>
      </w:pPr>
      <w:r>
        <w:t xml:space="preserve">Backend-readable config is required. It supports hero headline/subheading, offer chip, trust strip, plan wording, pricing, FAQ, demo URL, launch region, landing variant, rewarded-ad wording, summary-token wording, kill-switch flag, and play windows. Config must have version/timestamp and safe fallback.</w:t>
      </w:r>
    </w:p>
    <w:p>
      <w:pPr>
        <w:pStyle w:val="BodyText"/>
      </w:pPr>
      <w:r>
        <w:t xml:space="preserve">Safe default:</w:t>
      </w:r>
      <w:r>
        <w:t xml:space="preserve"> </w:t>
      </w:r>
      <w:r>
        <w:t xml:space="preserve">“</w:t>
      </w:r>
      <w:r>
        <w:t xml:space="preserve">Chess that teaches you while you play. Opponent knows. Help is capped. Rating adjusts.</w:t>
      </w:r>
      <w:r>
        <w:t xml:space="preserve">”</w:t>
      </w:r>
    </w:p>
    <w:bookmarkEnd w:id="21"/>
    <w:bookmarkStart w:id="22" w:name="o.4-landing-defaults"/>
    <w:p>
      <w:pPr>
        <w:pStyle w:val="Heading2"/>
      </w:pPr>
      <w:r>
        <w:t xml:space="preserve">O.4 Landing defaults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copy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Chess that teaches you while you play.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Subheading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EvenChess is a separate assisted chess mode where platform coaching is built into the rules. Your opponent sees it, help is capped, and ECR accounts for what you 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 10 free games.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 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game tokens; 3 full match summaries; 1 performance summary after 10 completed games.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strip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Opponent knows; Help is capped; Rating adjusts.</w:t>
            </w:r>
          </w:p>
        </w:tc>
      </w:tr>
    </w:tbl>
    <w:p>
      <w:pPr>
        <w:pStyle w:val="BodyText"/>
      </w:pPr>
      <w:r>
        <w:t xml:space="preserve">Landing supports Hero, Trust, Difference, How it works, Proof, Pricing, FAQ, Final CTA. Variants: default, adult_improver, parent_learning, fair_rating, summary_loop, free_tokens. Forbidden phrases include cheat legally, secret engine, use Stockfish during games, beat stronger players with AI, best move shown live, Premium gives stronger help. Pricing includes fairness footnote.</w:t>
      </w:r>
    </w:p>
    <w:bookmarkEnd w:id="22"/>
    <w:bookmarkStart w:id="23" w:name="o.5-offers-windows-attribution"/>
    <w:p>
      <w:pPr>
        <w:pStyle w:val="Heading2"/>
      </w:pPr>
      <w:r>
        <w:t xml:space="preserve">O.5 Offers, windows, attribution</w:t>
      </w:r>
    </w:p>
    <w:p>
      <w:pPr>
        <w:pStyle w:val="FirstParagraph"/>
      </w:pPr>
      <w:r>
        <w:t xml:space="preserve">Free offer states 10 game tokens, 3 match summaries, 1 performance summary after 10 games. Standard displays $10 AUD/4 weeks and $2.50/week. Premium displays $16 AUD/4 weeks and $4/week plus quotas. Play windows are backend-configurable and may show Play now/Next window but must not manipulate hidden queue/fairness.</w:t>
      </w:r>
    </w:p>
    <w:p>
      <w:pPr>
        <w:pStyle w:val="BodyText"/>
      </w:pPr>
      <w:r>
        <w:t xml:space="preserve">Capture UTM source/medium/campaign/content/term, click IDs, variant, first/latest campaign, signup, first game, first subscription. Required events include landing_page_view, view_pricing, begin_signup, sign_up_complete, first_game_started/completed, games_completed_3, ten_games_completed, rewarded_ad_complete, summary views, checkout_start, purchases, renew/cancel.</w:t>
      </w:r>
    </w:p>
    <w:p>
      <w:pPr>
        <w:pStyle w:val="BodyText"/>
      </w:pPr>
      <w:r>
        <w:t xml:space="preserve">Admin controls include marketing_site_enabled, active_landing_variant, offer version, play windows, rewarded_ads_enabled, plan flags, paid_acquisition_mode, campaign_pause_notice. Paid acquisition pauses if tracking/payments/queue/copy safety breaks.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2026-05-28T09:49:13Z</dcterms:created>
  <dcterms:modified xsi:type="dcterms:W3CDTF">2026-05-28T09:49:13Z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