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4c910ebc54ec5e4e152aeabcde69293912e42b"/>
    <w:p>
      <w:pPr>
        <w:pStyle w:val="Heading1"/>
      </w:pPr>
      <w:r>
        <w:t xml:space="preserve">Appendix Q - Exploit, Abuse, and Trust Controls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Consolidates exploit register and trust controls.</w:t>
      </w:r>
    </w:p>
    <w:p>
      <w:pPr>
        <w:pStyle w:val="BodyText"/>
      </w:pPr>
      <w:r>
        <w:t xml:space="preserve">ABUSE-L1-001: Non-platform guidance remains prohibited.</w:t>
      </w:r>
      <w:r>
        <w:br/>
      </w:r>
      <w:r>
        <w:t xml:space="preserve">ABUSE-L1-002: Distinguish legal platform coaching from illegal external help.</w:t>
      </w:r>
      <w:r>
        <w:br/>
      </w:r>
      <w:r>
        <w:t xml:space="preserve">ABUSE-L1-003: Abuse controls must not silently change fairness values.</w:t>
      </w:r>
      <w:r>
        <w:br/>
      </w:r>
      <w:r>
        <w:t xml:space="preserve">ABUSE-L1-004: MVP excludes phone verification, device/session risk scoring, same-IP limits, high-risk cluster token delays.</w:t>
      </w:r>
      <w:r>
        <w:br/>
      </w:r>
      <w:r>
        <w:t xml:space="preserve">ABUSE-L1-005: More invasive controls need approval/privacy review.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Exploit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Sandbagging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distortion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Suspicious losses/rebounds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floors, review, leaderboard restrictions.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pairs, odd resignations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caps, graph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Evasion/farming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only as needed, manual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Non-platform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Unpriced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match/timing/reports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Fair-play reports/review.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Candidate-follow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engine-like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Hover/probe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budgets/cooldowns.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policy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isolation/output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misuse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Sharing/quota anomalies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Account-based subscriptions/quotas.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residuals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Target pool/shadow rating.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Rematch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 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limits/flags.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Abort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Queue/token gaming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Quotas/cooldowns.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Asymmetric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Pause/downgrade/no-rate/annul.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Missing/late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Timeout/stale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Fallback/suppress.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advice/clock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resync.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coaching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hash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Clear-on-move/TTL.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UI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QA/persistent badges.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Ad-token farming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economy abuse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completions/no play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cap/cooldowns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misrepresentation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Trust/regulatory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scans/complaints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guardrails/kill switches.</w:t>
            </w:r>
          </w:p>
        </w:tc>
      </w:tr>
    </w:tbl>
    <w:p>
      <w:pPr>
        <w:pStyle w:val="BodyText"/>
      </w:pPr>
      <w:r>
        <w:t xml:space="preserve">Fair-play reports should link game, player, move range, coaching ledger summary, visible assistance state. Moderation must not expose anti-cheat internals unnecessarily. High-volume probing/hover/reveal patterns are logged and may be capped; suppression is audited. Use existing lila moderation patterns when possible. Tests include copy scans, repeat/collusion simulations, candidate budgets, prompt injection, stale/desync, token abuse, no-rate/annul audit, mobile disclosure.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2026-05-28T09:49:14Z</dcterms:created>
  <dcterms:modified xsi:type="dcterms:W3CDTF">2026-05-28T09:49:14Z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