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d3ed6da893e3f0f764a927fb11c17273399bbd"/>
    <w:p>
      <w:pPr>
        <w:pStyle w:val="Heading1"/>
      </w:pPr>
      <w:r>
        <w:t xml:space="preserve">Appendix W - Reserved for Future Requirements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Reserved 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Reserved appendix; no active implementation authority in Version 1.</w:t>
      </w:r>
    </w:p>
    <w:p>
      <w:pPr>
        <w:pStyle w:val="BodyText"/>
      </w:pPr>
      <w:r>
        <w:t xml:space="preserve">RES-L1-W: Codex must not implement features from this appendix unless a future product-owner amendment activates it. Future content must update the main map and Appendix Z if it supersedes existing requirements. Planning notes are not implementation authority.</w:t>
      </w:r>
    </w:p>
    <w:p>
      <w:pPr>
        <w:pStyle w:val="BodyText"/>
      </w:pPr>
      <w:r>
        <w:t xml:space="preserve">Current status: Reserved future use: education/classroom, coach dashboards, school/club admin, saved drill packs, mobile wrapper, export/API policy.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2026-05-28T09:49:15Z</dcterms:created>
  <dcterms:modified xsi:type="dcterms:W3CDTF">2026-05-28T09:49:15Z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