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8864257b9dfa6729acbee9a1233dca38fa426e"/>
    <w:p>
      <w:pPr>
        <w:pStyle w:val="Heading1"/>
      </w:pPr>
      <w:r>
        <w:t xml:space="preserve">Appendix X - Reserved for Future Requirements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Reserved 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Reserved appendix; no active implementation authority in Version 1.</w:t>
      </w:r>
    </w:p>
    <w:p>
      <w:pPr>
        <w:pStyle w:val="BodyText"/>
      </w:pPr>
      <w:r>
        <w:t xml:space="preserve">RES-L1-X: Codex must not implement features from this appendix unless a future product-owner amendment activates it. Future content must update the main map and Appendix Z if it supersedes existing requirements. Planning notes are not implementation authority.</w:t>
      </w:r>
    </w:p>
    <w:p>
      <w:pPr>
        <w:pStyle w:val="BodyText"/>
      </w:pPr>
      <w:r>
        <w:t xml:space="preserve">Current status: Reserved future use. No active requirements.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2026-05-28T09:49:15Z</dcterms:created>
  <dcterms:modified xsi:type="dcterms:W3CDTF">2026-05-28T09:49:15Z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