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>
      <w:pPr>
        <w:spacing w:after="240"/>
      </w:pPr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  <w:u w:val="single"/>
        </w:rPr>
        <w:t xml:space="preserve">Combined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>
      <w:pPr>
        <w:pBdr>
          <w:bottom w:color="auto" w:space="1" w:sz="6" w:val="single"/>
        </w:pBdr>
      </w:pPr>
    </w:p>
    <w:p/>
    <w:p>
      <w:pPr/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spacing w:after="400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1" name="Picture 12345681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1906" w:h="15840" w:orient="portrait"/>
          <w:pgMar w:bottom="1133" w:footer="708" w:gutter="0" w:header="708" w:left="1133" w:right="1133" w:top="1133"/>
          <w:cols w:space="708"/>
          <w:docGrid w:linePitch="360"/>
        </w:sect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p>
      <w:pPr>
        <w:sectPr>
          <w:pgSz w:w="15840" w:h="11906" w:orient="landscape"/>
          <w:pgMar w:bottom="1133" w:footer="708" w:gutter="0" w:header="708" w:left="1133" w:right="1133" w:top="1133"/>
          <w:cols w:space="708"/>
          <w:docGrid w:linePitch="360"/>
        </w:sect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4ade6a327cd0c24a785c9d0f6425557096eb64fa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