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42D42">
      <w:pPr>
        <w:spacing w:before="120" w:after="0" w:line="276" w:lineRule="auto"/>
        <w:jc w:val="center"/>
        <w:rPr>
          <w:b/>
          <w:sz w:val="32"/>
          <w:szCs w:val="32"/>
        </w:rPr>
      </w:pPr>
      <w:r>
        <w:rPr>
          <w:b/>
          <w:sz w:val="32"/>
          <w:szCs w:val="32"/>
        </w:rPr>
        <w:t>ĐẠI HỌC QUỐC GIA TP. HỒ CHÍ MINH</w:t>
      </w:r>
    </w:p>
    <w:p w14:paraId="54F8FF70">
      <w:pPr>
        <w:spacing w:line="276" w:lineRule="auto"/>
        <w:jc w:val="center"/>
      </w:pPr>
      <w:r>
        <w:rPr>
          <w:b/>
          <w:sz w:val="32"/>
          <w:szCs w:val="32"/>
        </w:rPr>
        <w:t>TRƯỜNG ĐẠI HỌC CÔNG NGHỆ THÔNG TIN</w:t>
      </w:r>
    </w:p>
    <w:p w14:paraId="6F6C49F2">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285DB616">
      <w:pPr>
        <w:jc w:val="center"/>
      </w:pPr>
      <w:r>
        <w:drawing>
          <wp:inline distT="0" distB="0" distL="0" distR="0">
            <wp:extent cx="792480" cy="646430"/>
            <wp:effectExtent l="0" t="0" r="7620" b="1270"/>
            <wp:docPr id="6" name="Picture 6" descr="A blue logo with a planet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logo with a planet in the cen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92480" cy="646430"/>
                    </a:xfrm>
                    <a:prstGeom prst="rect">
                      <a:avLst/>
                    </a:prstGeom>
                    <a:noFill/>
                  </pic:spPr>
                </pic:pic>
              </a:graphicData>
            </a:graphic>
          </wp:inline>
        </w:drawing>
      </w:r>
    </w:p>
    <w:p w14:paraId="2E1F367F">
      <w:pPr>
        <w:jc w:val="center"/>
      </w:pPr>
    </w:p>
    <w:p w14:paraId="7E7A6B11">
      <w:pPr>
        <w:jc w:val="center"/>
        <w:rPr>
          <w:sz w:val="36"/>
          <w:szCs w:val="36"/>
        </w:rPr>
      </w:pPr>
    </w:p>
    <w:p w14:paraId="396A6F93">
      <w:pPr>
        <w:jc w:val="center"/>
      </w:pPr>
    </w:p>
    <w:p w14:paraId="434732BE"/>
    <w:p w14:paraId="1D7282C9">
      <w:pPr>
        <w:tabs>
          <w:tab w:val="left" w:pos="1134"/>
        </w:tabs>
        <w:jc w:val="center"/>
        <w:rPr>
          <w:rFonts w:hint="default"/>
          <w:bCs/>
          <w:sz w:val="56"/>
          <w:szCs w:val="56"/>
          <w:lang w:val="en-US"/>
        </w:rPr>
      </w:pPr>
      <w:r>
        <w:rPr>
          <w:b/>
          <w:sz w:val="56"/>
          <w:szCs w:val="56"/>
          <w:lang w:val="vi-VN"/>
        </w:rPr>
        <w:t xml:space="preserve">Dự </w:t>
      </w:r>
      <w:r>
        <w:rPr>
          <w:b/>
          <w:sz w:val="56"/>
          <w:szCs w:val="56"/>
          <w:lang w:val="en-US"/>
        </w:rPr>
        <w:t>đ</w:t>
      </w:r>
      <w:r>
        <w:rPr>
          <w:rFonts w:hint="default"/>
          <w:b/>
          <w:sz w:val="56"/>
          <w:szCs w:val="56"/>
          <w:lang w:val="en-US"/>
        </w:rPr>
        <w:t>oán hiệu suất thương mại dựa trên thuế quan và mức ổn định chính trị</w:t>
      </w:r>
    </w:p>
    <w:p w14:paraId="4D1011BD">
      <w:pPr>
        <w:tabs>
          <w:tab w:val="left" w:pos="1134"/>
        </w:tabs>
        <w:rPr>
          <w:bCs/>
          <w:sz w:val="30"/>
          <w:szCs w:val="30"/>
        </w:rPr>
      </w:pPr>
    </w:p>
    <w:p w14:paraId="7C856CC1">
      <w:pPr>
        <w:jc w:val="center"/>
        <w:rPr>
          <w:bCs/>
          <w:sz w:val="30"/>
          <w:szCs w:val="30"/>
        </w:rPr>
      </w:pPr>
    </w:p>
    <w:p w14:paraId="25AA13F0">
      <w:pPr>
        <w:tabs>
          <w:tab w:val="left" w:pos="1134"/>
        </w:tabs>
        <w:rPr>
          <w:b/>
          <w:sz w:val="30"/>
          <w:szCs w:val="30"/>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438"/>
        <w:gridCol w:w="1584"/>
        <w:gridCol w:w="2188"/>
      </w:tblGrid>
      <w:tr w14:paraId="06D3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5" w:type="dxa"/>
            <w:gridSpan w:val="4"/>
          </w:tcPr>
          <w:p w14:paraId="08CBA05A">
            <w:pPr>
              <w:spacing w:after="0" w:line="240" w:lineRule="auto"/>
              <w:jc w:val="center"/>
              <w:rPr>
                <w:b/>
                <w:bCs/>
              </w:rPr>
            </w:pPr>
            <w:r>
              <w:rPr>
                <w:b/>
                <w:bCs/>
              </w:rPr>
              <w:t>Nhóm 1</w:t>
            </w:r>
          </w:p>
        </w:tc>
      </w:tr>
      <w:tr w14:paraId="197F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5" w:type="dxa"/>
            <w:gridSpan w:val="4"/>
          </w:tcPr>
          <w:p w14:paraId="75F37FEB">
            <w:pPr>
              <w:spacing w:after="0" w:line="240" w:lineRule="auto"/>
              <w:jc w:val="left"/>
              <w:rPr>
                <w:lang w:val="vi-VN"/>
              </w:rPr>
            </w:pPr>
            <w:r>
              <w:rPr>
                <w:lang w:val="vi-VN"/>
              </w:rPr>
              <w:t>Sinh viên thực hiện:</w:t>
            </w:r>
            <w:r>
              <w:t xml:space="preserve"> </w:t>
            </w:r>
          </w:p>
        </w:tc>
      </w:tr>
      <w:tr w14:paraId="1A32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tcPr>
          <w:p w14:paraId="438684CF">
            <w:pPr>
              <w:spacing w:after="0" w:line="240" w:lineRule="auto"/>
              <w:jc w:val="center"/>
              <w:rPr>
                <w:lang w:val="vi-VN"/>
              </w:rPr>
            </w:pPr>
            <w:r>
              <w:rPr>
                <w:lang w:val="vi-VN"/>
              </w:rPr>
              <w:t>STT</w:t>
            </w:r>
          </w:p>
        </w:tc>
        <w:tc>
          <w:tcPr>
            <w:tcW w:w="2438" w:type="dxa"/>
          </w:tcPr>
          <w:p w14:paraId="1AA1E10D">
            <w:pPr>
              <w:spacing w:after="0" w:line="240" w:lineRule="auto"/>
              <w:jc w:val="center"/>
              <w:rPr>
                <w:lang w:val="vi-VN"/>
              </w:rPr>
            </w:pPr>
            <w:r>
              <w:rPr>
                <w:lang w:val="vi-VN"/>
              </w:rPr>
              <w:t>Họ tên</w:t>
            </w:r>
          </w:p>
        </w:tc>
        <w:tc>
          <w:tcPr>
            <w:tcW w:w="1584" w:type="dxa"/>
          </w:tcPr>
          <w:p w14:paraId="4F43801F">
            <w:pPr>
              <w:spacing w:after="0" w:line="240" w:lineRule="auto"/>
              <w:jc w:val="center"/>
              <w:rPr>
                <w:lang w:val="vi-VN"/>
              </w:rPr>
            </w:pPr>
            <w:r>
              <w:rPr>
                <w:lang w:val="vi-VN"/>
              </w:rPr>
              <w:t>MSSV</w:t>
            </w:r>
          </w:p>
        </w:tc>
        <w:tc>
          <w:tcPr>
            <w:tcW w:w="2188" w:type="dxa"/>
          </w:tcPr>
          <w:p w14:paraId="6B96FB47">
            <w:pPr>
              <w:spacing w:after="0" w:line="240" w:lineRule="auto"/>
              <w:jc w:val="center"/>
              <w:rPr>
                <w:lang w:val="vi-VN"/>
              </w:rPr>
            </w:pPr>
            <w:r>
              <w:t>Ngành</w:t>
            </w:r>
          </w:p>
        </w:tc>
      </w:tr>
      <w:tr w14:paraId="1ED7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tcPr>
          <w:p w14:paraId="2817F1F1">
            <w:pPr>
              <w:spacing w:after="0" w:line="240" w:lineRule="auto"/>
              <w:jc w:val="center"/>
              <w:rPr>
                <w:lang w:val="vi-VN"/>
              </w:rPr>
            </w:pPr>
            <w:r>
              <w:rPr>
                <w:lang w:val="vi-VN"/>
              </w:rPr>
              <w:t>1</w:t>
            </w:r>
          </w:p>
        </w:tc>
        <w:tc>
          <w:tcPr>
            <w:tcW w:w="2438" w:type="dxa"/>
          </w:tcPr>
          <w:p w14:paraId="39A96CA3">
            <w:pPr>
              <w:spacing w:after="0" w:line="240" w:lineRule="auto"/>
              <w:jc w:val="center"/>
              <w:rPr>
                <w:lang w:val="vi-VN"/>
              </w:rPr>
            </w:pPr>
            <w:r>
              <w:rPr>
                <w:lang w:val="vi-VN"/>
              </w:rPr>
              <w:t>Nguyễn Thế Duyệt</w:t>
            </w:r>
          </w:p>
        </w:tc>
        <w:tc>
          <w:tcPr>
            <w:tcW w:w="1584" w:type="dxa"/>
          </w:tcPr>
          <w:p w14:paraId="33B98AFF">
            <w:pPr>
              <w:spacing w:after="0" w:line="240" w:lineRule="auto"/>
              <w:jc w:val="center"/>
              <w:rPr>
                <w:lang w:val="vi-VN"/>
              </w:rPr>
            </w:pPr>
            <w:r>
              <w:rPr>
                <w:lang w:val="vi-VN"/>
              </w:rPr>
              <w:t>23520402</w:t>
            </w:r>
          </w:p>
        </w:tc>
        <w:tc>
          <w:tcPr>
            <w:tcW w:w="2188" w:type="dxa"/>
          </w:tcPr>
          <w:p w14:paraId="7016340C">
            <w:pPr>
              <w:spacing w:after="0" w:line="240" w:lineRule="auto"/>
              <w:jc w:val="center"/>
            </w:pPr>
            <w:r>
              <w:t>KHDL</w:t>
            </w:r>
          </w:p>
        </w:tc>
      </w:tr>
      <w:tr w14:paraId="37BA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tcPr>
          <w:p w14:paraId="5152F071">
            <w:pPr>
              <w:spacing w:after="0" w:line="240" w:lineRule="auto"/>
              <w:jc w:val="center"/>
              <w:rPr>
                <w:lang w:val="vi-VN"/>
              </w:rPr>
            </w:pPr>
            <w:r>
              <w:rPr>
                <w:lang w:val="vi-VN"/>
              </w:rPr>
              <w:t>2</w:t>
            </w:r>
          </w:p>
        </w:tc>
        <w:tc>
          <w:tcPr>
            <w:tcW w:w="2438" w:type="dxa"/>
          </w:tcPr>
          <w:p w14:paraId="75DEFC1C">
            <w:pPr>
              <w:spacing w:after="0" w:line="240" w:lineRule="auto"/>
              <w:jc w:val="center"/>
              <w:rPr>
                <w:lang w:val="vi-VN"/>
              </w:rPr>
            </w:pPr>
            <w:r>
              <w:rPr>
                <w:lang w:val="vi-VN"/>
              </w:rPr>
              <w:t>Huỳnh Quốc Cường</w:t>
            </w:r>
          </w:p>
        </w:tc>
        <w:tc>
          <w:tcPr>
            <w:tcW w:w="1584" w:type="dxa"/>
          </w:tcPr>
          <w:p w14:paraId="067AAEF1">
            <w:pPr>
              <w:spacing w:after="0" w:line="240" w:lineRule="auto"/>
              <w:jc w:val="center"/>
              <w:rPr>
                <w:lang w:val="vi-VN"/>
              </w:rPr>
            </w:pPr>
            <w:r>
              <w:rPr>
                <w:lang w:val="vi-VN"/>
              </w:rPr>
              <w:t>23520196</w:t>
            </w:r>
          </w:p>
        </w:tc>
        <w:tc>
          <w:tcPr>
            <w:tcW w:w="2188" w:type="dxa"/>
          </w:tcPr>
          <w:p w14:paraId="2B961544">
            <w:pPr>
              <w:spacing w:after="0" w:line="240" w:lineRule="auto"/>
              <w:jc w:val="center"/>
            </w:pPr>
            <w:r>
              <w:t>KHDL</w:t>
            </w:r>
          </w:p>
        </w:tc>
      </w:tr>
      <w:tr w14:paraId="673B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tcPr>
          <w:p w14:paraId="0B4BD399">
            <w:pPr>
              <w:spacing w:after="0" w:line="240" w:lineRule="auto"/>
              <w:jc w:val="center"/>
            </w:pPr>
            <w:r>
              <w:t>3</w:t>
            </w:r>
          </w:p>
        </w:tc>
        <w:tc>
          <w:tcPr>
            <w:tcW w:w="2438" w:type="dxa"/>
          </w:tcPr>
          <w:p w14:paraId="77015D42">
            <w:pPr>
              <w:spacing w:after="0" w:line="240" w:lineRule="auto"/>
              <w:jc w:val="center"/>
              <w:rPr>
                <w:lang w:val="vi-VN"/>
              </w:rPr>
            </w:pPr>
            <w:r>
              <w:rPr>
                <w:lang w:val="vi-VN"/>
              </w:rPr>
              <w:t>Lưu Minh Tân</w:t>
            </w:r>
          </w:p>
        </w:tc>
        <w:tc>
          <w:tcPr>
            <w:tcW w:w="1584" w:type="dxa"/>
          </w:tcPr>
          <w:p w14:paraId="0A63B487">
            <w:pPr>
              <w:spacing w:after="0" w:line="240" w:lineRule="auto"/>
              <w:jc w:val="center"/>
              <w:rPr>
                <w:lang w:val="vi-VN"/>
              </w:rPr>
            </w:pPr>
            <w:r>
              <w:rPr>
                <w:lang w:val="vi-VN"/>
              </w:rPr>
              <w:t>22521300</w:t>
            </w:r>
          </w:p>
        </w:tc>
        <w:tc>
          <w:tcPr>
            <w:tcW w:w="2188" w:type="dxa"/>
          </w:tcPr>
          <w:p w14:paraId="2E1142C9">
            <w:pPr>
              <w:spacing w:after="0" w:line="240" w:lineRule="auto"/>
              <w:jc w:val="center"/>
            </w:pPr>
            <w:r>
              <w:t>CNTT</w:t>
            </w:r>
          </w:p>
        </w:tc>
      </w:tr>
    </w:tbl>
    <w:p w14:paraId="7FD2AB42">
      <w:pPr>
        <w:jc w:val="center"/>
        <w:rPr>
          <w:lang w:val="vi-VN"/>
        </w:rPr>
      </w:pPr>
    </w:p>
    <w:p w14:paraId="5000F59E"/>
    <w:p w14:paraId="4FDB84F1">
      <w:pPr>
        <w:spacing w:after="480"/>
        <w:jc w:val="center"/>
      </w:pPr>
    </w:p>
    <w:p w14:paraId="3387E386">
      <w:pPr>
        <w:spacing w:after="0"/>
        <w:contextualSpacing/>
        <w:jc w:val="center"/>
        <w:rPr>
          <w:b/>
          <w:bCs/>
          <w:sz w:val="32"/>
          <w:szCs w:val="32"/>
        </w:rPr>
        <w:sectPr>
          <w:pgSz w:w="11907" w:h="16840"/>
          <w:pgMar w:top="1440" w:right="1134" w:bottom="1440" w:left="1701" w:header="709" w:footer="709" w:gutter="0"/>
          <w:pgBorders w:display="firstPage">
            <w:top w:val="thinThickMediumGap" w:color="auto" w:sz="24" w:space="1"/>
            <w:left w:val="thinThickMediumGap" w:color="auto" w:sz="24" w:space="4"/>
            <w:bottom w:val="thickThinMediumGap" w:color="auto" w:sz="24" w:space="1"/>
            <w:right w:val="thickThinMediumGap" w:color="auto" w:sz="24" w:space="4"/>
          </w:pgBorders>
          <w:pgNumType w:start="0"/>
          <w:cols w:space="708" w:num="1"/>
          <w:docGrid w:linePitch="360" w:charSpace="0"/>
        </w:sectPr>
      </w:pPr>
      <w:r>
        <w:rPr>
          <w:b/>
          <w:bCs/>
          <w:sz w:val="32"/>
          <w:szCs w:val="32"/>
          <w:lang w:val="vi-VN"/>
        </w:rPr>
        <w:t>TP. HỒ CHÍ MINH – 10/</w:t>
      </w:r>
      <w:r>
        <w:rPr>
          <w:b/>
          <w:bCs/>
          <w:sz w:val="32"/>
          <w:szCs w:val="32"/>
        </w:rPr>
        <w:t>2025</w:t>
      </w:r>
    </w:p>
    <w:p w14:paraId="5372CEDD">
      <w:pPr>
        <w:pStyle w:val="2"/>
      </w:pPr>
      <w:r>
        <w:t xml:space="preserve">1. GIỚI THIỆU </w:t>
      </w:r>
    </w:p>
    <w:p w14:paraId="21E41898">
      <w:pPr>
        <w:pStyle w:val="13"/>
        <w:keepNext w:val="0"/>
        <w:keepLines w:val="0"/>
        <w:widowControl/>
        <w:suppressLineNumbers w:val="0"/>
      </w:pPr>
      <w:r>
        <w:t>Trong bối cảnh toàn cầu hóa và hội nhập kinh tế quốc tế ngày càng sâu rộng, thương mại quốc tế đóng vai trò then chốt trong việc thúc đẩy tăng trưởng kinh tế, tạo công ăn việc làm và nâng cao mức sống cho người dân. Hiệu suất thương mại (trade performance) không chỉ phản ánh năng lực xuất nhập khẩu của một quốc gia mà còn thể hiện khả năng hội nhập, năng lực cạnh tranh, và mức độ ổn định của môi trường kinh tế vĩ mô. Việc đánh giá và dự đoán hiệu suất thương mại vì thế mang ý nghĩa quan trọng trong hoạch định chính sách và chiến lược phát triển quốc gia.</w:t>
      </w:r>
    </w:p>
    <w:p w14:paraId="4392862B">
      <w:pPr>
        <w:pStyle w:val="13"/>
        <w:keepNext w:val="0"/>
        <w:keepLines w:val="0"/>
        <w:widowControl/>
        <w:suppressLineNumbers w:val="0"/>
      </w:pPr>
      <w:r>
        <w:t xml:space="preserve">Một trong những yếu tố có ảnh hưởng mạnh mẽ đến hiệu suất thương mại là </w:t>
      </w:r>
      <w:r>
        <w:rPr>
          <w:rStyle w:val="14"/>
        </w:rPr>
        <w:t>chính sách thuế quan (tariff)</w:t>
      </w:r>
      <w:r>
        <w:t>. Mức thuế quan cao có thể làm giảm khả năng tiếp cận thị trường quốc tế, hạn chế dòng chảy hàng hóa và gây cản trở đối với xuất khẩu, trong khi thuế quan thấp hơn có xu hướng khuyến khích tự do thương mại, nâng cao tính cạnh tranh và hiệu quả phân bổ nguồn lực. Tuy nhiên, việc giảm thuế quan cần được cân nhắc trong bối cảnh từng nền kinh tế, bởi nó có thể ảnh hưởng đến nguồn thu ngân sách và các ngành sản xuất nội địa.</w:t>
      </w:r>
    </w:p>
    <w:p w14:paraId="08547AB8">
      <w:pPr>
        <w:pStyle w:val="13"/>
        <w:keepNext w:val="0"/>
        <w:keepLines w:val="0"/>
        <w:widowControl/>
        <w:suppressLineNumbers w:val="0"/>
      </w:pPr>
      <w:r>
        <w:t xml:space="preserve">Bên cạnh đó, </w:t>
      </w:r>
      <w:r>
        <w:rPr>
          <w:rStyle w:val="14"/>
        </w:rPr>
        <w:t>mức ổn định chính trị (political stability)</w:t>
      </w:r>
      <w:r>
        <w:t xml:space="preserve"> cũng là một yếu tố nền tảng quyết định đến môi trường kinh doanh và đầu tư. Một quốc gia ổn định về chính trị, ít xung đột, minh bạch và có hệ thống pháp luật đáng tin cậy sẽ tạo điều kiện thuận lợi cho các hoạt động thương mại, thu hút đầu tư nước ngoài và đảm bảo tính bền vững trong phát triển kinh tế. Ngược lại, bất ổn chính trị, tham nhũng hay bạo loạn có thể làm suy giảm niềm tin của doanh nghiệp và làm giảm mạnh hiệu suất thương mại.</w:t>
      </w:r>
    </w:p>
    <w:p w14:paraId="76E90AC5">
      <w:pPr>
        <w:pStyle w:val="13"/>
        <w:keepNext w:val="0"/>
        <w:keepLines w:val="0"/>
        <w:widowControl/>
        <w:suppressLineNumbers w:val="0"/>
      </w:pPr>
      <w:r>
        <w:t xml:space="preserve">Đề tài này hướng đến việc </w:t>
      </w:r>
      <w:r>
        <w:rPr>
          <w:rStyle w:val="14"/>
        </w:rPr>
        <w:t>phân tích và dự đoán hiệu suất thương mại của các quốc gia dựa trên hai biến số chính là thuế quan (tariff) và mức ổn định chính trị (political stability)</w:t>
      </w:r>
      <w:r>
        <w:t xml:space="preserve">. Bằng cách kết hợp dữ liệu định lượng từ các nguồn uy tín như </w:t>
      </w:r>
      <w:r>
        <w:rPr>
          <w:rStyle w:val="14"/>
        </w:rPr>
        <w:t>World Development Indicators (WDI)</w:t>
      </w:r>
      <w:r>
        <w:t xml:space="preserve"> và </w:t>
      </w:r>
      <w:r>
        <w:rPr>
          <w:rStyle w:val="14"/>
        </w:rPr>
        <w:t>Worldwide Governance Indicators (WGI 2024)</w:t>
      </w:r>
      <w:r>
        <w:t>, nghiên cứu này không chỉ khám phá mối quan hệ giữa hai yếu tố này với thương mại mà còn xây dựng mô hình dự đoán, góp phần đưa ra các khuyến nghị chính sách cụ thể cho từng quốc gia nhằm nâng cao hiệu quả thương mại trong dài hạn.</w:t>
      </w:r>
      <w:r>
        <w:br w:type="textWrapping"/>
      </w:r>
    </w:p>
    <w:p w14:paraId="5F653C8F">
      <w:r>
        <w:br w:type="page"/>
      </w:r>
    </w:p>
    <w:p w14:paraId="7875E80E">
      <w:pPr>
        <w:pStyle w:val="13"/>
        <w:keepNext w:val="0"/>
        <w:keepLines w:val="0"/>
        <w:widowControl/>
        <w:suppressLineNumbers w:val="0"/>
      </w:pPr>
    </w:p>
    <w:p w14:paraId="6B425589">
      <w:pPr>
        <w:pStyle w:val="13"/>
        <w:keepNext w:val="0"/>
        <w:keepLines w:val="0"/>
        <w:widowControl/>
        <w:numPr>
          <w:ilvl w:val="0"/>
          <w:numId w:val="1"/>
        </w:numPr>
        <w:suppressLineNumbers w:val="0"/>
        <w:rPr>
          <w:b/>
          <w:bCs/>
        </w:rPr>
      </w:pPr>
      <w:r>
        <w:rPr>
          <w:rFonts w:hint="default"/>
          <w:b/>
          <w:bCs/>
          <w:lang w:val="en-US"/>
        </w:rPr>
        <w:t>CƠ SỞ LÍ THUYẾT</w:t>
      </w:r>
      <w:r>
        <w:rPr>
          <w:b/>
          <w:bCs/>
        </w:rPr>
        <w:t xml:space="preserve"> </w:t>
      </w:r>
    </w:p>
    <w:p w14:paraId="6A120FA7">
      <w:pPr>
        <w:pStyle w:val="13"/>
        <w:keepNext w:val="0"/>
        <w:keepLines w:val="0"/>
        <w:widowControl/>
        <w:suppressLineNumbers w:val="0"/>
      </w:pPr>
      <w:r>
        <w:t>Trong bối cảnh toàn cầu hóa và hội nhập kinh tế quốc tế ngày càng sâu rộng, thương mại quốc tế đóng vai trò then chốt trong việc thúc đẩy tăng trưởng kinh tế, tạo công ăn việc làm và nâng cao mức sống cho người dân. Hiệu suất thương mại (trade performance) không chỉ phản ánh năng lực xuất nhập khẩu của một quốc gia mà còn thể hiện khả năng hội nhập, năng lực cạnh tranh, và mức độ ổn định của môi trường kinh tế vĩ mô. Việc đánh giá và dự đoán hiệu suất thương mại vì thế mang ý nghĩa quan trọng trong hoạch định chính sách và chiến lược phát triển quốc gia.</w:t>
      </w:r>
    </w:p>
    <w:p w14:paraId="4DE00044">
      <w:pPr>
        <w:pStyle w:val="13"/>
        <w:keepNext w:val="0"/>
        <w:keepLines w:val="0"/>
        <w:widowControl/>
        <w:suppressLineNumbers w:val="0"/>
      </w:pPr>
      <w:r>
        <w:rPr>
          <w:rStyle w:val="14"/>
        </w:rPr>
        <w:t>2.1. Thuế quan (Tariff)</w:t>
      </w:r>
    </w:p>
    <w:p w14:paraId="04607C73">
      <w:pPr>
        <w:pStyle w:val="13"/>
        <w:keepNext w:val="0"/>
        <w:keepLines w:val="0"/>
        <w:widowControl/>
        <w:suppressLineNumbers w:val="0"/>
      </w:pPr>
      <w:r>
        <w:t xml:space="preserve">Một trong những yếu tố có ảnh hưởng mạnh mẽ đến hiệu suất thương mại là </w:t>
      </w:r>
      <w:r>
        <w:rPr>
          <w:rStyle w:val="14"/>
        </w:rPr>
        <w:t>chính sách thuế quan (tariff)</w:t>
      </w:r>
      <w:r>
        <w:t>. Mức thuế quan cao có thể làm giảm khả năng tiếp cận thị trường quốc tế, hạn chế dòng chảy hàng hóa và gây cản trở đối với xuất khẩu, trong khi thuế quan thấp hơn có xu hướng khuyến khích tự do thương mại, nâng cao tính cạnh tranh và hiệu quả phân bổ nguồn lực. Tuy nhiên, việc giảm thuế quan cần được cân nhắc trong bối cảnh từng nền kinh tế, bởi nó có thể ảnh hưởng đến nguồn thu ngân sách và các ngành sản xuất nội địa.</w:t>
      </w:r>
    </w:p>
    <w:p w14:paraId="6D5EAF5A">
      <w:pPr>
        <w:pStyle w:val="13"/>
        <w:keepNext w:val="0"/>
        <w:keepLines w:val="0"/>
        <w:widowControl/>
        <w:suppressLineNumbers w:val="0"/>
      </w:pPr>
      <w:r>
        <w:rPr>
          <w:rStyle w:val="14"/>
        </w:rPr>
        <w:t>2.2. Ổn định chính trị (Political Stability)</w:t>
      </w:r>
    </w:p>
    <w:p w14:paraId="739A2C0A">
      <w:pPr>
        <w:pStyle w:val="13"/>
        <w:keepNext w:val="0"/>
        <w:keepLines w:val="0"/>
        <w:widowControl/>
        <w:suppressLineNumbers w:val="0"/>
      </w:pPr>
      <w:r>
        <w:t xml:space="preserve">Bên cạnh đó, </w:t>
      </w:r>
      <w:r>
        <w:rPr>
          <w:rStyle w:val="14"/>
        </w:rPr>
        <w:t>mức ổn định chính trị (political stability)</w:t>
      </w:r>
      <w:r>
        <w:t xml:space="preserve"> cũng là một yếu tố nền tảng quyết định đến môi trường kinh doanh và đầu tư. Một quốc gia ổn định về chính trị, ít xung đột, minh bạch và có hệ thống pháp luật đáng tin cậy sẽ tạo điều kiện thuận lợi cho các hoạt động thương mại, thu hút đầu tư nước ngoài và đảm bảo tính bền vững trong phát triển kinh tế. Ngược lại, bất ổn chính trị, tham nhũng hay bạo loạn có thể làm suy giảm niềm tin của doanh nghiệp và làm giảm mạnh hiệu suất thương mại.</w:t>
      </w:r>
    </w:p>
    <w:p w14:paraId="16ABCB4D">
      <w:pPr>
        <w:pStyle w:val="13"/>
        <w:keepNext w:val="0"/>
        <w:keepLines w:val="0"/>
        <w:widowControl/>
        <w:suppressLineNumbers w:val="0"/>
      </w:pPr>
      <w:r>
        <w:rPr>
          <w:rStyle w:val="14"/>
        </w:rPr>
        <w:t>2.3. Mối quan hệ giữa Tariff, Political Stability và Hiệu suất thương mại</w:t>
      </w:r>
    </w:p>
    <w:p w14:paraId="31673A07">
      <w:pPr>
        <w:pStyle w:val="13"/>
        <w:keepNext w:val="0"/>
        <w:keepLines w:val="0"/>
        <w:widowControl/>
        <w:suppressLineNumbers w:val="0"/>
      </w:pPr>
      <w:r>
        <w:t xml:space="preserve">Đề tài này hướng đến việc </w:t>
      </w:r>
      <w:r>
        <w:rPr>
          <w:rStyle w:val="14"/>
        </w:rPr>
        <w:t>phân tích và dự đoán hiệu suất thương mại của các quốc gia dựa trên hai biến số chính là thuế quan (tariff) và mức ổn định chính trị (political stability)</w:t>
      </w:r>
      <w:r>
        <w:t xml:space="preserve">. Bằng cách kết hợp dữ liệu định lượng từ các nguồn uy tín như </w:t>
      </w:r>
      <w:r>
        <w:rPr>
          <w:rStyle w:val="14"/>
        </w:rPr>
        <w:t>World Development Indicators (WDI)</w:t>
      </w:r>
      <w:r>
        <w:t xml:space="preserve"> và </w:t>
      </w:r>
      <w:r>
        <w:rPr>
          <w:rStyle w:val="14"/>
        </w:rPr>
        <w:t>Worldwide Governance Indicators (WGI 2024)</w:t>
      </w:r>
      <w:r>
        <w:t>, nghiên cứu này không chỉ khám phá mối quan hệ giữa hai yếu tố này với thương mại mà còn xây dựng mô hình dự đoán, góp phần đưa ra các khuyến nghị chính sách cụ thể cho từng quốc gia nhằm nâng cao hiệu quả thương mại trong dài hạn.</w:t>
      </w:r>
    </w:p>
    <w:p w14:paraId="64220303">
      <w:pPr>
        <w:pStyle w:val="13"/>
        <w:keepNext w:val="0"/>
        <w:keepLines w:val="0"/>
        <w:widowControl/>
        <w:suppressLineNumbers w:val="0"/>
      </w:pPr>
    </w:p>
    <w:p w14:paraId="21538D3A">
      <w:pPr>
        <w:pStyle w:val="13"/>
        <w:keepNext w:val="0"/>
        <w:keepLines w:val="0"/>
        <w:widowControl/>
        <w:numPr>
          <w:ilvl w:val="0"/>
          <w:numId w:val="1"/>
        </w:numPr>
        <w:suppressLineNumbers w:val="0"/>
        <w:ind w:left="0" w:leftChars="0" w:firstLine="0" w:firstLineChars="0"/>
        <w:rPr>
          <w:rFonts w:hint="default"/>
          <w:lang w:val="en-US"/>
        </w:rPr>
      </w:pPr>
      <w:r>
        <w:rPr>
          <w:rFonts w:hint="default"/>
          <w:b/>
          <w:bCs/>
          <w:lang w:val="en-US"/>
        </w:rPr>
        <w:t xml:space="preserve">DỮ LIỆU VÀ PHƯƠNG PHÁP </w:t>
      </w:r>
    </w:p>
    <w:p w14:paraId="1542EF88">
      <w:pPr>
        <w:pStyle w:val="13"/>
        <w:keepNext w:val="0"/>
        <w:keepLines w:val="0"/>
        <w:widowControl/>
        <w:numPr>
          <w:ilvl w:val="1"/>
          <w:numId w:val="1"/>
        </w:numPr>
        <w:suppressLineNumbers w:val="0"/>
      </w:pPr>
      <w:r>
        <w:rPr>
          <w:rStyle w:val="14"/>
        </w:rPr>
        <w:t>Nguồn dữ liệu</w:t>
      </w:r>
      <w:r>
        <w:br w:type="textWrapping"/>
      </w:r>
      <w:r>
        <w:t xml:space="preserve">Dữ liệu được thu thập từ </w:t>
      </w:r>
      <w:r>
        <w:rPr>
          <w:rFonts w:hint="default"/>
          <w:lang w:val="en-US"/>
        </w:rPr>
        <w:t xml:space="preserve">ba </w:t>
      </w:r>
      <w:r>
        <w:t>nguồn chính:</w:t>
      </w:r>
    </w:p>
    <w:p w14:paraId="71A8FDDA">
      <w:pPr>
        <w:pStyle w:val="13"/>
        <w:keepNext w:val="0"/>
        <w:keepLines w:val="0"/>
        <w:widowControl/>
        <w:numPr>
          <w:ilvl w:val="0"/>
          <w:numId w:val="2"/>
        </w:numPr>
        <w:suppressLineNumbers w:val="0"/>
        <w:ind w:left="420" w:leftChars="0" w:hanging="420" w:firstLineChars="0"/>
        <w:rPr>
          <w:rStyle w:val="14"/>
        </w:rPr>
      </w:pPr>
      <w:r>
        <w:rPr>
          <w:rStyle w:val="14"/>
        </w:rPr>
        <w:t>Dữ liệu Thương mại và Thuế quan (Kaggle):</w:t>
      </w:r>
    </w:p>
    <w:p w14:paraId="125D9512">
      <w:pPr>
        <w:pStyle w:val="13"/>
        <w:keepNext w:val="0"/>
        <w:keepLines w:val="0"/>
        <w:widowControl/>
        <w:suppressLineNumbers w:val="0"/>
        <w:ind w:left="720"/>
      </w:pPr>
      <w:r>
        <w:rPr>
          <w:rStyle w:val="14"/>
        </w:rPr>
        <w:t>Nguồn:</w:t>
      </w:r>
      <w:r>
        <w:t xml:space="preserve"> "34 years world export and import dataset" từ Kaggle.</w:t>
      </w:r>
    </w:p>
    <w:p w14:paraId="5066F2FC">
      <w:pPr>
        <w:pStyle w:val="13"/>
        <w:keepNext w:val="0"/>
        <w:keepLines w:val="0"/>
        <w:widowControl/>
        <w:suppressLineNumbers w:val="0"/>
        <w:ind w:left="720"/>
      </w:pPr>
      <w:r>
        <w:rPr>
          <w:rStyle w:val="14"/>
        </w:rPr>
        <w:t>Mô tả:</w:t>
      </w:r>
      <w:r>
        <w:t xml:space="preserve"> Cung cấp dữ liệu chi tiết về xuất khẩu, nhập khẩu, và các chỉ số thuế quan (AHS/MFN Weighted Average) cho nhiều quốc gia trong nhiều năm. Đây là nguồn dữ liệu chính cho các biến độc lập (thuế quan) và biến phụ thuộc (thương mại).</w:t>
      </w:r>
    </w:p>
    <w:p w14:paraId="6434DB97">
      <w:pPr>
        <w:pStyle w:val="13"/>
        <w:keepNext w:val="0"/>
        <w:keepLines w:val="0"/>
        <w:widowControl/>
        <w:numPr>
          <w:ilvl w:val="0"/>
          <w:numId w:val="2"/>
        </w:numPr>
        <w:suppressLineNumbers w:val="0"/>
        <w:ind w:left="420" w:leftChars="0" w:hanging="420" w:firstLineChars="0"/>
      </w:pPr>
      <w:r>
        <w:rPr>
          <w:rStyle w:val="14"/>
        </w:rPr>
        <w:t>Dữ liệu Quản trị Toàn cầu (WGI):</w:t>
      </w:r>
    </w:p>
    <w:p w14:paraId="40428E45">
      <w:pPr>
        <w:pStyle w:val="13"/>
        <w:keepNext w:val="0"/>
        <w:keepLines w:val="0"/>
        <w:widowControl/>
        <w:suppressLineNumbers w:val="0"/>
        <w:ind w:firstLine="720" w:firstLineChars="0"/>
      </w:pPr>
      <w:r>
        <w:rPr>
          <w:rStyle w:val="14"/>
        </w:rPr>
        <w:t>Nguồn:</w:t>
      </w:r>
      <w:r>
        <w:t xml:space="preserve"> Worldwide Governance Indicators (WGI) từ Ngân hàng Thế giới (World Bank).</w:t>
      </w:r>
    </w:p>
    <w:p w14:paraId="00A16C22">
      <w:pPr>
        <w:pStyle w:val="13"/>
        <w:keepNext w:val="0"/>
        <w:keepLines w:val="0"/>
        <w:widowControl/>
        <w:suppressLineNumbers w:val="0"/>
        <w:ind w:firstLine="720" w:firstLineChars="0"/>
      </w:pPr>
      <w:r>
        <w:rPr>
          <w:rStyle w:val="14"/>
        </w:rPr>
        <w:t>Mô tả:</w:t>
      </w:r>
      <w:r>
        <w:t xml:space="preserve"> Cung cấp chỉ số "Political Stability and Absence of Violence/Terrorism (PV)" dạng 'Rank'. Chỉ số này được sử dụng làm đại diện cho biến ổn định chính trị.</w:t>
      </w:r>
    </w:p>
    <w:p w14:paraId="5D914180">
      <w:pPr>
        <w:pStyle w:val="13"/>
        <w:keepNext w:val="0"/>
        <w:keepLines w:val="0"/>
        <w:widowControl/>
        <w:numPr>
          <w:ilvl w:val="0"/>
          <w:numId w:val="2"/>
        </w:numPr>
        <w:suppressLineNumbers w:val="0"/>
        <w:ind w:left="420" w:leftChars="0" w:hanging="420" w:firstLineChars="0"/>
      </w:pPr>
      <w:r>
        <w:rPr>
          <w:rStyle w:val="14"/>
        </w:rPr>
        <w:t>Dữ liệu Metadata Quốc gia:</w:t>
      </w:r>
    </w:p>
    <w:p w14:paraId="7C95A299">
      <w:pPr>
        <w:pStyle w:val="13"/>
        <w:keepNext w:val="0"/>
        <w:keepLines w:val="0"/>
        <w:widowControl/>
        <w:suppressLineNumbers w:val="0"/>
        <w:ind w:firstLine="720" w:firstLineChars="0"/>
      </w:pPr>
      <w:r>
        <w:rPr>
          <w:rStyle w:val="14"/>
        </w:rPr>
        <w:t>Nguồn:</w:t>
      </w:r>
      <w:r>
        <w:t xml:space="preserve"> Một tệp </w:t>
      </w:r>
      <w:r>
        <w:rPr>
          <w:rStyle w:val="12"/>
        </w:rPr>
        <w:t>country_metadata.csv</w:t>
      </w:r>
      <w:r>
        <w:t xml:space="preserve"> (được xây dựng nội bộ hoặc từ một nguồn khác).</w:t>
      </w:r>
    </w:p>
    <w:p w14:paraId="671F7107">
      <w:pPr>
        <w:pStyle w:val="13"/>
        <w:keepNext w:val="0"/>
        <w:keepLines w:val="0"/>
        <w:widowControl/>
        <w:suppressLineNumbers w:val="0"/>
        <w:ind w:firstLine="720" w:firstLineChars="0"/>
      </w:pPr>
      <w:r>
        <w:rPr>
          <w:rStyle w:val="14"/>
        </w:rPr>
        <w:t>Mô tả:</w:t>
      </w:r>
      <w:r>
        <w:t xml:space="preserve"> Chứa danh sách chuẩn hóa tên quốc gia, mã ISO, khu vực (Region) và mức thu nhập (Income Group). Tệp này đóng vai trò then chốt trong việc hợp nhất hai bộ dữ liệu trên.</w:t>
      </w:r>
    </w:p>
    <w:p w14:paraId="60781AC6">
      <w:pPr>
        <w:pStyle w:val="13"/>
        <w:keepNext w:val="0"/>
        <w:keepLines w:val="0"/>
        <w:widowControl/>
        <w:suppressLineNumbers w:val="0"/>
        <w:rPr>
          <w:rFonts w:hint="default"/>
          <w:lang w:val="en-US"/>
        </w:rPr>
      </w:pPr>
      <w:r>
        <w:rPr>
          <w:rFonts w:hint="default"/>
          <w:b/>
          <w:bCs/>
          <w:lang w:val="en-US"/>
        </w:rPr>
        <w:t>3. PHƯƠNG PHÁP TIỀN XỬ LÝ DỮ LIỆU</w:t>
      </w:r>
    </w:p>
    <w:p w14:paraId="573E22C2">
      <w:pPr>
        <w:pStyle w:val="13"/>
        <w:keepNext w:val="0"/>
        <w:keepLines w:val="0"/>
        <w:widowControl/>
        <w:suppressLineNumbers w:val="0"/>
        <w:ind w:firstLine="720" w:firstLineChars="0"/>
        <w:rPr>
          <w:rFonts w:hint="default"/>
          <w:lang w:val="en-US"/>
        </w:rPr>
      </w:pPr>
      <w:r>
        <w:rPr>
          <w:rFonts w:hint="default"/>
          <w:lang w:val="en-US"/>
        </w:rPr>
        <w:t>Quá trình tiền xử lý là một bước phức tạp và quan trọng, bao gồm các kỹ thuật sau đây để đảm bảo tính toàn vẹn và nhất quán của dữ liệu:</w:t>
      </w:r>
    </w:p>
    <w:p w14:paraId="0FEC9219">
      <w:pPr>
        <w:pStyle w:val="13"/>
        <w:keepNext w:val="0"/>
        <w:keepLines w:val="0"/>
        <w:widowControl/>
        <w:suppressLineNumbers w:val="0"/>
        <w:rPr>
          <w:rFonts w:hint="default"/>
          <w:b/>
          <w:bCs/>
          <w:lang w:val="en-US"/>
        </w:rPr>
      </w:pPr>
      <w:r>
        <w:rPr>
          <w:rFonts w:hint="default"/>
          <w:b/>
          <w:bCs/>
          <w:lang w:val="en-US"/>
        </w:rPr>
        <w:t>3.1. Tải và Khám phá Dữ liệu ban đầu</w:t>
      </w:r>
    </w:p>
    <w:p w14:paraId="37E4CF8F">
      <w:pPr>
        <w:pStyle w:val="13"/>
        <w:keepNext w:val="0"/>
        <w:keepLines w:val="0"/>
        <w:widowControl/>
        <w:suppressLineNumbers w:val="0"/>
        <w:ind w:firstLine="720" w:firstLineChars="0"/>
        <w:rPr>
          <w:rFonts w:hint="default"/>
          <w:lang w:val="en-US"/>
        </w:rPr>
      </w:pPr>
      <w:r>
        <w:rPr>
          <w:rFonts w:hint="default"/>
          <w:lang w:val="en-US"/>
        </w:rPr>
        <w:t>Tải dữ liệu: Tải 3 tệp dữ liệu (từ Kaggle, WGI, và Metadata) vào các DataFrame của Pandas.</w:t>
      </w:r>
    </w:p>
    <w:p w14:paraId="680E4F34">
      <w:pPr>
        <w:pStyle w:val="13"/>
        <w:keepNext w:val="0"/>
        <w:keepLines w:val="0"/>
        <w:widowControl/>
        <w:suppressLineNumbers w:val="0"/>
        <w:ind w:firstLine="720" w:firstLineChars="0"/>
        <w:rPr>
          <w:rFonts w:hint="default"/>
          <w:lang w:val="en-US"/>
        </w:rPr>
      </w:pPr>
      <w:r>
        <w:rPr>
          <w:rFonts w:hint="default"/>
          <w:lang w:val="en-US"/>
        </w:rPr>
        <w:t>Kiểm tra ban đầu: Sử dụng các hàm .info(), .head(), và .isnull().sum() để hiểu cấu trúc, kiểm tra các kiểu dữ liệu và xác định tỷ lệ dữ liệu khuyết thiếu ban đầu của mỗi tệp.</w:t>
      </w:r>
    </w:p>
    <w:p w14:paraId="5F1F962C">
      <w:pPr>
        <w:pStyle w:val="13"/>
        <w:keepNext w:val="0"/>
        <w:keepLines w:val="0"/>
        <w:widowControl/>
        <w:suppressLineNumbers w:val="0"/>
        <w:rPr>
          <w:rFonts w:hint="default"/>
          <w:b/>
          <w:bCs/>
          <w:lang w:val="en-US"/>
        </w:rPr>
      </w:pPr>
      <w:r>
        <w:rPr>
          <w:rFonts w:hint="default"/>
          <w:b/>
          <w:bCs/>
          <w:lang w:val="en-US"/>
        </w:rPr>
        <w:t>3.2. Xử lý Dữ liệu Khuyết thiếu (Missing Values)</w:t>
      </w:r>
    </w:p>
    <w:p w14:paraId="2A303CF2">
      <w:pPr>
        <w:pStyle w:val="13"/>
        <w:keepNext w:val="0"/>
        <w:keepLines w:val="0"/>
        <w:widowControl/>
        <w:suppressLineNumbers w:val="0"/>
        <w:rPr>
          <w:rFonts w:hint="default"/>
          <w:lang w:val="en-US"/>
        </w:rPr>
      </w:pPr>
      <w:r>
        <w:rPr>
          <w:rFonts w:hint="default"/>
          <w:lang w:val="en-US"/>
        </w:rPr>
        <w:t>- Xử lý dữ liệu khuyết thiếu đa bước:</w:t>
      </w:r>
    </w:p>
    <w:p w14:paraId="2C24E2C5">
      <w:pPr>
        <w:pStyle w:val="13"/>
        <w:keepNext w:val="0"/>
        <w:keepLines w:val="0"/>
        <w:widowControl/>
        <w:numPr>
          <w:numId w:val="0"/>
        </w:numPr>
        <w:suppressLineNumbers w:val="0"/>
        <w:ind w:leftChars="0" w:right="0" w:rightChars="0"/>
        <w:rPr>
          <w:rFonts w:hint="default"/>
          <w:b/>
          <w:bCs/>
          <w:lang w:val="en-US"/>
        </w:rPr>
      </w:pPr>
      <w:r>
        <w:rPr>
          <w:rFonts w:hint="default"/>
          <w:b/>
          <w:bCs/>
          <w:lang w:val="en-US"/>
        </w:rPr>
        <w:t xml:space="preserve">Chỉ số Ổn định Chính trị (WGI): </w:t>
      </w:r>
    </w:p>
    <w:p w14:paraId="3DC7BC18">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Phát hiện các giá trị không phải số (ví dụ: '..') trong cột 'Rank' đại diện cho dữ liệu bị thiếu.</w:t>
      </w:r>
    </w:p>
    <w:p w14:paraId="31681427">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Chuyển đổi các giá trị '..' này thành giá trị NaN (Not a Number) của Numpy.</w:t>
      </w:r>
    </w:p>
    <w:p w14:paraId="574532AC">
      <w:pPr>
        <w:pStyle w:val="13"/>
        <w:keepNext w:val="0"/>
        <w:keepLines w:val="0"/>
        <w:widowControl/>
        <w:suppressLineNumbers w:val="0"/>
        <w:ind w:firstLine="720" w:firstLineChars="0"/>
        <w:rPr>
          <w:rFonts w:hint="default"/>
          <w:lang w:val="en-US"/>
        </w:rPr>
      </w:pPr>
    </w:p>
    <w:p w14:paraId="25590F6A">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Các hàng chứa giá trị NaN trong cột 'Rank' sau đó đã bị loại bỏ khỏi bộ dữ liệu WGI bằng cách sử dụng dropna().</w:t>
      </w:r>
    </w:p>
    <w:p w14:paraId="4D813A8A">
      <w:pPr>
        <w:pStyle w:val="13"/>
        <w:keepNext w:val="0"/>
        <w:keepLines w:val="0"/>
        <w:widowControl/>
        <w:suppressLineNumbers w:val="0"/>
        <w:rPr>
          <w:rFonts w:hint="default"/>
          <w:lang w:val="en-US"/>
        </w:rPr>
      </w:pPr>
      <w:r>
        <w:rPr>
          <w:rFonts w:hint="default"/>
          <w:b/>
          <w:bCs/>
          <w:lang w:val="en-US"/>
        </w:rPr>
        <w:t>Dữ liệu Thương mại (Kaggle):</w:t>
      </w:r>
    </w:p>
    <w:p w14:paraId="17378EB0">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Phân tích tỷ lệ thiếu cho thấy hai cột 'Revealed comparative advantage' (thiếu 23.07%) và 'Country Growth (%)' (thiếu 25.51%) có tỷ lệ dữ liệu khuyết thiếu rất cao.</w:t>
      </w:r>
    </w:p>
    <w:p w14:paraId="6662A0AB">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Giải pháp: Thay vì cố gắng điền giá trị (nội suy) có thể gây sai lệch, chúng tôi đã loại bỏ hoàn toàn hai cột này khỏi phân tích.</w:t>
      </w:r>
    </w:p>
    <w:p w14:paraId="610A23FF">
      <w:pPr>
        <w:pStyle w:val="13"/>
        <w:keepNext w:val="0"/>
        <w:keepLines w:val="0"/>
        <w:widowControl/>
        <w:numPr>
          <w:ilvl w:val="0"/>
          <w:numId w:val="2"/>
        </w:numPr>
        <w:suppressLineNumbers w:val="0"/>
        <w:ind w:left="420" w:leftChars="0" w:hanging="420" w:firstLineChars="0"/>
        <w:rPr>
          <w:rFonts w:hint="default"/>
          <w:lang w:val="en-US"/>
        </w:rPr>
      </w:pPr>
      <w:r>
        <w:rPr>
          <w:rFonts w:hint="default"/>
          <w:lang w:val="en-US"/>
        </w:rPr>
        <w:t>Để giữ lại thông tin về việc dữ liệu có tồn tại hay không, hai cột cờ nhị phân (binary flags) mới là has_RCA và has_Country_Growth đã được tạo ra (giá trị 1 nếu có dữ liệu, 0 nếu thiếu) trước khi xóa cột gốc.</w:t>
      </w:r>
    </w:p>
    <w:p w14:paraId="79EDECE0">
      <w:pPr>
        <w:pStyle w:val="13"/>
        <w:keepNext w:val="0"/>
        <w:keepLines w:val="0"/>
        <w:widowControl/>
        <w:suppressLineNumbers w:val="0"/>
        <w:ind w:firstLine="720" w:firstLineChars="0"/>
        <w:rPr>
          <w:rFonts w:hint="default"/>
          <w:lang w:val="en-US"/>
        </w:rPr>
      </w:pPr>
    </w:p>
    <w:p w14:paraId="3B490420">
      <w:pPr>
        <w:pStyle w:val="13"/>
        <w:keepNext w:val="0"/>
        <w:keepLines w:val="0"/>
        <w:widowControl/>
        <w:suppressLineNumbers w:val="0"/>
        <w:rPr>
          <w:rFonts w:hint="default"/>
          <w:lang w:val="en-US"/>
        </w:rPr>
      </w:pPr>
      <w:r>
        <w:rPr>
          <w:rFonts w:hint="default"/>
          <w:b/>
          <w:bCs/>
          <w:lang w:val="en-US"/>
        </w:rPr>
        <w:t>3.3. Hợp nhất và Chuẩn hóa Tên quốc gia (Fuzzy Matching)</w:t>
      </w:r>
    </w:p>
    <w:p w14:paraId="05D1234C">
      <w:pPr>
        <w:pStyle w:val="13"/>
        <w:keepNext w:val="0"/>
        <w:keepLines w:val="0"/>
        <w:widowControl/>
        <w:suppressLineNumbers w:val="0"/>
        <w:ind w:firstLine="720" w:firstLineChars="0"/>
        <w:rPr>
          <w:rFonts w:hint="default"/>
          <w:lang w:val="en-US"/>
        </w:rPr>
      </w:pPr>
      <w:r>
        <w:rPr>
          <w:rFonts w:hint="default"/>
          <w:lang w:val="en-US"/>
        </w:rPr>
        <w:t>Một thách thức lớn là tên quốc gia không nhất quán giữa các bộ dữ liệu.</w:t>
      </w:r>
    </w:p>
    <w:p w14:paraId="21752C00">
      <w:pPr>
        <w:pStyle w:val="13"/>
        <w:keepNext w:val="0"/>
        <w:keepLines w:val="0"/>
        <w:widowControl/>
        <w:suppressLineNumbers w:val="0"/>
        <w:ind w:firstLine="720" w:firstLineChars="0"/>
        <w:rPr>
          <w:rFonts w:hint="default"/>
          <w:lang w:val="en-US"/>
        </w:rPr>
      </w:pPr>
      <w:r>
        <w:rPr>
          <w:rFonts w:hint="default"/>
          <w:lang w:val="en-US"/>
        </w:rPr>
        <w:t>Giải pháp: Sử dụng thư viện fuzzywuzzy (cụ thể là hàm process.extractOne) để thực hiện khớp chuỗi mờ (fuzzy string matching).</w:t>
      </w:r>
    </w:p>
    <w:p w14:paraId="563D1E15">
      <w:pPr>
        <w:pStyle w:val="13"/>
        <w:keepNext w:val="0"/>
        <w:keepLines w:val="0"/>
        <w:widowControl/>
        <w:suppressLineNumbers w:val="0"/>
        <w:ind w:firstLine="720" w:firstLineChars="0"/>
        <w:rPr>
          <w:rFonts w:hint="default"/>
          <w:lang w:val="en-US"/>
        </w:rPr>
      </w:pPr>
      <w:r>
        <w:rPr>
          <w:rFonts w:hint="default"/>
          <w:lang w:val="en-US"/>
        </w:rPr>
        <w:t>Quy trình: Tên quốc gia từ bộ dữ liệu Kaggle (Country) và WGI (Country/Territory) được so khớp với danh sách "tên chuẩn" (standard_name) từ tệp country_metadata.csv.</w:t>
      </w:r>
    </w:p>
    <w:p w14:paraId="120ACC7C">
      <w:pPr>
        <w:pStyle w:val="13"/>
        <w:keepNext w:val="0"/>
        <w:keepLines w:val="0"/>
        <w:widowControl/>
        <w:suppressLineNumbers w:val="0"/>
        <w:ind w:firstLine="720" w:firstLineChars="0"/>
        <w:rPr>
          <w:rFonts w:hint="default"/>
          <w:lang w:val="en-US"/>
        </w:rPr>
      </w:pPr>
      <w:r>
        <w:rPr>
          <w:rFonts w:hint="default"/>
          <w:lang w:val="en-US"/>
        </w:rPr>
        <w:t>Lọc theo Ngưỡng: Chỉ những kết quả khớp có độ tương đồng (confidence score) trên 60% mới được chấp nhận. Các hàng dữ liệu (cả từ Kaggle và WGI) không đạt ngưỡng khớp này đã bị loại bỏ khỏi phân tích để đảm bảo tính chính xác của việc gộp dữ liệu.</w:t>
      </w:r>
    </w:p>
    <w:p w14:paraId="0D5EE916">
      <w:pPr>
        <w:pStyle w:val="13"/>
        <w:keepNext w:val="0"/>
        <w:keepLines w:val="0"/>
        <w:widowControl/>
        <w:suppressLineNumbers w:val="0"/>
        <w:ind w:firstLine="720" w:firstLineChars="0"/>
        <w:rPr>
          <w:rFonts w:hint="default"/>
          <w:lang w:val="en-US"/>
        </w:rPr>
      </w:pPr>
      <w:r>
        <w:rPr>
          <w:rFonts w:hint="default"/>
          <w:lang w:val="en-US"/>
        </w:rPr>
        <w:t>Kết quả: 166 hàng dữ liệu từ bộ Kaggle đã bị loại bỏ do không khớp được tên một cách đáng tin cậy.</w:t>
      </w:r>
    </w:p>
    <w:p w14:paraId="27C5F780">
      <w:pPr>
        <w:pStyle w:val="13"/>
        <w:keepNext w:val="0"/>
        <w:keepLines w:val="0"/>
        <w:widowControl/>
        <w:suppressLineNumbers w:val="0"/>
        <w:rPr>
          <w:rFonts w:hint="default"/>
          <w:lang w:val="en-US"/>
        </w:rPr>
      </w:pPr>
      <w:r>
        <w:rPr>
          <w:rFonts w:hint="default"/>
          <w:b/>
          <w:bCs/>
          <w:lang w:val="en-US"/>
        </w:rPr>
        <w:t>3.4. Gộp (Merge) các Bộ Dữ liệu</w:t>
      </w:r>
    </w:p>
    <w:p w14:paraId="4497C94B">
      <w:pPr>
        <w:pStyle w:val="13"/>
        <w:keepNext w:val="0"/>
        <w:keepLines w:val="0"/>
        <w:widowControl/>
        <w:suppressLineNumbers w:val="0"/>
        <w:ind w:firstLine="720" w:firstLineChars="0"/>
        <w:rPr>
          <w:rFonts w:hint="default"/>
          <w:lang w:val="en-US"/>
        </w:rPr>
      </w:pPr>
      <w:r>
        <w:rPr>
          <w:rFonts w:hint="default"/>
          <w:lang w:val="en-US"/>
        </w:rPr>
        <w:t>Sau khi đã có cột standard_name chuẩn hóa ở cả hai bộ dữ liệu chính:</w:t>
      </w:r>
    </w:p>
    <w:p w14:paraId="1F3A8276">
      <w:pPr>
        <w:pStyle w:val="13"/>
        <w:keepNext w:val="0"/>
        <w:keepLines w:val="0"/>
        <w:widowControl/>
        <w:suppressLineNumbers w:val="0"/>
        <w:ind w:firstLine="720" w:firstLineChars="0"/>
        <w:rPr>
          <w:rFonts w:hint="default"/>
          <w:lang w:val="en-US"/>
        </w:rPr>
      </w:pPr>
      <w:r>
        <w:rPr>
          <w:rFonts w:hint="default"/>
          <w:lang w:val="en-US"/>
        </w:rPr>
        <w:t>Gộp (pd.merge) bộ dữ liệu Kaggle và WGI đã qua xử lý, sử dụng phép gộp inner dựa trên hai khóa: standard_name và Year. Điều này đảm bảo chúng ta chỉ giữ lại các điểm dữ liệu có thông tin của cả thương mại và ổn định chính trị trong cùng một năm.</w:t>
      </w:r>
    </w:p>
    <w:p w14:paraId="183F75DD">
      <w:pPr>
        <w:pStyle w:val="13"/>
        <w:keepNext w:val="0"/>
        <w:keepLines w:val="0"/>
        <w:widowControl/>
        <w:suppressLineNumbers w:val="0"/>
        <w:ind w:firstLine="720" w:firstLineChars="0"/>
        <w:rPr>
          <w:rFonts w:hint="default"/>
          <w:lang w:val="en-US"/>
        </w:rPr>
      </w:pPr>
      <w:r>
        <w:rPr>
          <w:rFonts w:hint="default"/>
          <w:lang w:val="en-US"/>
        </w:rPr>
        <w:t>Tiếp tục gộp (pd.merge) kết quả trên với bộ dữ liệu df_meta sử dụng phép gộp left dựa trên khóa standard_name để bổ sung các thông tin về Khu vực (Region) và Mức thu nhập (Income Group).</w:t>
      </w:r>
    </w:p>
    <w:p w14:paraId="554C08CF">
      <w:pPr>
        <w:pStyle w:val="13"/>
        <w:keepNext w:val="0"/>
        <w:keepLines w:val="0"/>
        <w:widowControl/>
        <w:suppressLineNumbers w:val="0"/>
        <w:rPr>
          <w:rFonts w:hint="default"/>
          <w:lang w:val="en-US"/>
        </w:rPr>
      </w:pPr>
      <w:r>
        <w:rPr>
          <w:rFonts w:hint="default"/>
          <w:b/>
          <w:bCs/>
          <w:lang w:val="en-US"/>
        </w:rPr>
        <w:t>3.5. Biến đổi Dữ liệu (Data Transformation)</w:t>
      </w:r>
    </w:p>
    <w:p w14:paraId="71B4AE0D">
      <w:pPr>
        <w:pStyle w:val="13"/>
        <w:keepNext w:val="0"/>
        <w:keepLines w:val="0"/>
        <w:widowControl/>
        <w:suppressLineNumbers w:val="0"/>
        <w:ind w:firstLine="720" w:firstLineChars="0"/>
        <w:rPr>
          <w:rFonts w:hint="default"/>
          <w:lang w:val="en-US"/>
        </w:rPr>
      </w:pPr>
      <w:r>
        <w:rPr>
          <w:rFonts w:hint="default"/>
          <w:lang w:val="en-US"/>
        </w:rPr>
        <w:t>Để chuẩn bị cho phân tích EDA và mô hình hóa, một số biến có phân phối lệch (skewed) đã được biến đổi:</w:t>
      </w:r>
    </w:p>
    <w:p w14:paraId="72E761D9">
      <w:pPr>
        <w:pStyle w:val="13"/>
        <w:keepNext w:val="0"/>
        <w:keepLines w:val="0"/>
        <w:widowControl/>
        <w:suppressLineNumbers w:val="0"/>
        <w:ind w:firstLine="720" w:firstLineChars="0"/>
        <w:rPr>
          <w:rFonts w:hint="default"/>
          <w:lang w:val="en-US"/>
        </w:rPr>
      </w:pPr>
      <w:r>
        <w:rPr>
          <w:rFonts w:hint="default"/>
          <w:lang w:val="en-US"/>
        </w:rPr>
        <w:t>Log Transform: Áp dụng biến đổi logarit ch</w:t>
      </w:r>
      <w:bookmarkStart w:id="0" w:name="_GoBack"/>
      <w:bookmarkEnd w:id="0"/>
      <w:r>
        <w:rPr>
          <w:rFonts w:hint="default"/>
          <w:lang w:val="en-US"/>
        </w:rPr>
        <w:t>o cột Export để tạo cột mới Log_Export. Sử dụng np.log(df_final['Export'] + 1) để xử lý các giá trị bằng 0 (nếu có) và giúp phân phối của biến này gần với phân phối chuẩn hơn, ổn định phương sai.</w:t>
      </w:r>
    </w:p>
    <w:p w14:paraId="6BD47236">
      <w:pPr>
        <w:pStyle w:val="13"/>
        <w:keepNext w:val="0"/>
        <w:keepLines w:val="0"/>
        <w:widowControl/>
        <w:suppressLineNumbers w:val="0"/>
        <w:ind w:firstLine="720" w:firstLineChars="0"/>
        <w:rPr>
          <w:rFonts w:hint="default"/>
          <w:lang w:val="en-US"/>
        </w:rPr>
      </w:pPr>
    </w:p>
    <w:sectPr>
      <w:footerReference r:id="rId5" w:type="default"/>
      <w:pgSz w:w="11907" w:h="16840"/>
      <w:pgMar w:top="1440" w:right="1134" w:bottom="1440" w:left="1701" w:header="709" w:footer="709" w:gutter="0"/>
      <w:pgNumType w:start="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E276341-6782-4B4D-BA67-6F726CF857C4}"/>
  </w:font>
  <w:font w:name="Arial">
    <w:panose1 w:val="020B0604020202020204"/>
    <w:charset w:val="00"/>
    <w:family w:val="swiss"/>
    <w:pitch w:val="default"/>
    <w:sig w:usb0="E0002EFF" w:usb1="C000785B" w:usb2="00000009" w:usb3="00000000" w:csb0="400001FF" w:csb1="FFFF0000"/>
    <w:embedRegular r:id="rId2" w:fontKey="{E268DDB6-A4B1-4070-B324-C0251D4021F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AB12C4E-0E97-471B-991A-C1187628F2AE}"/>
  </w:font>
  <w:font w:name="Wingdings">
    <w:panose1 w:val="05000000000000000000"/>
    <w:charset w:val="02"/>
    <w:family w:val="auto"/>
    <w:pitch w:val="default"/>
    <w:sig w:usb0="00000000" w:usb1="00000000" w:usb2="00000000" w:usb3="00000000" w:csb0="80000000" w:csb1="00000000"/>
    <w:embedRegular r:id="rId4" w:fontKey="{A32F7420-FFCB-4A61-983B-595586817A16}"/>
  </w:font>
  <w:font w:name="Calibri">
    <w:panose1 w:val="020F0502020204030204"/>
    <w:charset w:val="00"/>
    <w:family w:val="swiss"/>
    <w:pitch w:val="default"/>
    <w:sig w:usb0="E4002EFF" w:usb1="C200247B" w:usb2="00000009" w:usb3="00000000" w:csb0="200001FF" w:csb1="00000000"/>
    <w:embedRegular r:id="rId5" w:fontKey="{282FBF3C-C962-49C2-A13F-3FC35E9A6E23}"/>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1E41605E-D7DF-4FFF-8D3A-0B1B90DF5406}"/>
  </w:font>
  <w:font w:name="Wingdings 2">
    <w:panose1 w:val="05020102010507070707"/>
    <w:charset w:val="02"/>
    <w:family w:val="roman"/>
    <w:pitch w:val="default"/>
    <w:sig w:usb0="00000000" w:usb1="00000000" w:usb2="00000000" w:usb3="00000000" w:csb0="80000000" w:csb1="00000000"/>
    <w:embedRegular r:id="rId7" w:fontKey="{82D64FB6-AA80-4A5C-AF9F-CDE8CD7A6D08}"/>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embedRegular r:id="rId8" w:fontKey="{2CBF36FD-454D-46C2-AA95-921B0B93164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5D672">
    <w:pPr>
      <w:pBdr>
        <w:top w:val="none" w:color="auto" w:sz="0" w:space="0"/>
        <w:left w:val="none" w:color="auto" w:sz="0" w:space="0"/>
        <w:bottom w:val="none" w:color="auto" w:sz="0" w:space="0"/>
        <w:right w:val="none" w:color="auto" w:sz="0" w:space="0"/>
        <w:between w:val="none" w:color="auto" w:sz="0" w:space="0"/>
      </w:pBdr>
      <w:tabs>
        <w:tab w:val="center" w:pos="4680"/>
        <w:tab w:val="center" w:pos="6521"/>
        <w:tab w:val="right" w:pos="9072"/>
        <w:tab w:val="right" w:pos="9360"/>
      </w:tabs>
      <w:spacing w:after="0" w:line="240" w:lineRule="auto"/>
      <w:rPr>
        <w:color w:val="000000"/>
      </w:rPr>
    </w:pPr>
    <w:r>
      <w:rPr>
        <w:color w:val="000000"/>
      </w:rPr>
      <w:tab/>
    </w:r>
    <w:r>
      <w:rPr>
        <w:color w:val="000000"/>
      </w:rPr>
      <w:tab/>
    </w: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-67310</wp:posOffset>
              </wp:positionV>
              <wp:extent cx="57600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1pt;margin-top:-5.3pt;height:1pt;width:453.55pt;z-index:251659264;mso-width-relative:page;mso-height-relative:page;" filled="f" stroked="t" coordsize="21600,21600" o:gfxdata="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qz6yHZAAAACQEAAA8AAAAAAAAAAQAgAAAAIgAAAGRycy9kb3du&#10;cmV2LnhtbFBLAQIUABQAAAAIAIdO4kAk8WnC/gEAABkEAAAOAAAAAAAAAAEAIAAAACgBAABkcnMv&#10;ZTJvRG9jLnhtbFBLBQYAAAAABgAGAFkBAACYBQAAAAA=&#10;">
              <v:fill on="f" focussize="0,0"/>
              <v:stroke color="#000000 [3200]" miterlimit="8" joinstyle="miter" startarrowwidth="narrow" startarrowlength="short" endarrowwidth="narrow" endarrowlength="short"/>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B4C6E"/>
    <w:multiLevelType w:val="multilevel"/>
    <w:tmpl w:val="C16B4C6E"/>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7AC717D"/>
    <w:multiLevelType w:val="singleLevel"/>
    <w:tmpl w:val="37AC71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AED"/>
    <w:rsid w:val="0004288D"/>
    <w:rsid w:val="00097598"/>
    <w:rsid w:val="00690C8F"/>
    <w:rsid w:val="007E50F1"/>
    <w:rsid w:val="00A05AED"/>
    <w:rsid w:val="10C02BD3"/>
    <w:rsid w:val="131E5EEC"/>
    <w:rsid w:val="1DA81162"/>
    <w:rsid w:val="4073674A"/>
    <w:rsid w:val="4CB91876"/>
    <w:rsid w:val="6162233A"/>
    <w:rsid w:val="6D574613"/>
    <w:rsid w:val="7D9F7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9"/>
    <w:pPr>
      <w:keepNext/>
      <w:keepLines/>
      <w:tabs>
        <w:tab w:val="left" w:pos="567"/>
      </w:tabs>
      <w:spacing w:after="0" w:line="240" w:lineRule="auto"/>
      <w:jc w:val="left"/>
      <w:outlineLvl w:val="0"/>
    </w:pPr>
    <w:rPr>
      <w:b/>
    </w:rPr>
  </w:style>
  <w:style w:type="paragraph" w:styleId="3">
    <w:name w:val="heading 2"/>
    <w:basedOn w:val="1"/>
    <w:next w:val="1"/>
    <w:semiHidden/>
    <w:unhideWhenUsed/>
    <w:qFormat/>
    <w:uiPriority w:val="9"/>
    <w:pPr>
      <w:keepNext/>
      <w:keepLines/>
      <w:spacing w:after="0" w:line="276" w:lineRule="auto"/>
      <w:outlineLvl w:val="1"/>
    </w:pPr>
    <w:rPr>
      <w:b/>
      <w:color w:val="000000"/>
      <w:sz w:val="28"/>
      <w:szCs w:val="28"/>
    </w:rPr>
  </w:style>
  <w:style w:type="paragraph" w:styleId="4">
    <w:name w:val="heading 3"/>
    <w:basedOn w:val="1"/>
    <w:next w:val="1"/>
    <w:semiHidden/>
    <w:unhideWhenUsed/>
    <w:qFormat/>
    <w:uiPriority w:val="9"/>
    <w:pPr>
      <w:keepNext/>
      <w:keepLines/>
      <w:spacing w:after="240"/>
      <w:outlineLvl w:val="2"/>
    </w:pPr>
    <w:rPr>
      <w:b/>
      <w:i/>
      <w:color w:val="0070C0"/>
    </w:rPr>
  </w:style>
  <w:style w:type="paragraph" w:styleId="5">
    <w:name w:val="heading 4"/>
    <w:basedOn w:val="1"/>
    <w:next w:val="1"/>
    <w:semiHidden/>
    <w:unhideWhenUsed/>
    <w:qFormat/>
    <w:uiPriority w:val="9"/>
    <w:pPr>
      <w:keepNext/>
      <w:keepLines/>
      <w:spacing w:before="40" w:after="0"/>
      <w:outlineLvl w:val="3"/>
    </w:pPr>
    <w:rPr>
      <w:rFonts w:ascii="Calibri" w:hAnsi="Calibri" w:eastAsia="Calibri" w:cs="Calibri"/>
      <w:i/>
      <w:color w:val="2E75B5"/>
    </w:rPr>
  </w:style>
  <w:style w:type="paragraph" w:styleId="6">
    <w:name w:val="heading 5"/>
    <w:basedOn w:val="1"/>
    <w:next w:val="1"/>
    <w:semiHidden/>
    <w:unhideWhenUsed/>
    <w:qFormat/>
    <w:uiPriority w:val="9"/>
    <w:pPr>
      <w:keepNext/>
      <w:keepLines/>
      <w:spacing w:before="40" w:after="0"/>
      <w:outlineLvl w:val="4"/>
    </w:pPr>
    <w:rPr>
      <w:rFonts w:ascii="Calibri" w:hAnsi="Calibri" w:eastAsia="Calibri" w:cs="Calibri"/>
      <w:color w:val="2E75B5"/>
    </w:rPr>
  </w:style>
  <w:style w:type="paragraph" w:styleId="7">
    <w:name w:val="heading 6"/>
    <w:basedOn w:val="1"/>
    <w:next w:val="1"/>
    <w:semiHidden/>
    <w:unhideWhenUsed/>
    <w:qFormat/>
    <w:uiPriority w:val="9"/>
    <w:pPr>
      <w:keepNext/>
      <w:keepLines/>
      <w:spacing w:before="40" w:after="0"/>
      <w:outlineLvl w:val="5"/>
    </w:pPr>
    <w:rPr>
      <w:rFonts w:ascii="Calibri" w:hAnsi="Calibri" w:eastAsia="Calibri" w:cs="Calibri"/>
      <w:color w:val="1E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0"/>
    <w:qFormat/>
    <w:uiPriority w:val="0"/>
    <w:pPr>
      <w:spacing w:before="180" w:after="180"/>
    </w:pPr>
  </w:style>
  <w:style w:type="character" w:styleId="11">
    <w:name w:val="Emphasis"/>
    <w:basedOn w:val="8"/>
    <w:qFormat/>
    <w:uiPriority w:val="20"/>
    <w:rPr>
      <w:i/>
      <w:iCs/>
    </w:rPr>
  </w:style>
  <w:style w:type="character" w:styleId="12">
    <w:name w:val="HTML Code"/>
    <w:basedOn w:val="8"/>
    <w:semiHidden/>
    <w:unhideWhenUsed/>
    <w:uiPriority w:val="99"/>
    <w:rPr>
      <w:rFonts w:ascii="Courier New" w:hAnsi="Courier New" w:cs="Courier New"/>
      <w:sz w:val="20"/>
      <w:szCs w:val="20"/>
    </w:r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10"/>
    <w:pPr>
      <w:keepNext/>
      <w:keepLines/>
      <w:spacing w:before="480"/>
    </w:pPr>
    <w:rPr>
      <w:b/>
      <w:sz w:val="72"/>
      <w:szCs w:val="7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character" w:customStyle="1" w:styleId="19">
    <w:name w:val="Verbatim Char"/>
    <w:basedOn w:val="20"/>
    <w:link w:val="21"/>
    <w:qFormat/>
    <w:uiPriority w:val="0"/>
  </w:style>
  <w:style w:type="character" w:customStyle="1" w:styleId="20">
    <w:name w:val="Body Text Char"/>
    <w:basedOn w:val="8"/>
    <w:link w:val="10"/>
    <w:qFormat/>
    <w:uiPriority w:val="0"/>
  </w:style>
  <w:style w:type="paragraph" w:customStyle="1" w:styleId="21">
    <w:name w:val="Source Code"/>
    <w:basedOn w:val="1"/>
    <w:link w:val="19"/>
    <w:qFormat/>
    <w:uiPriority w:val="0"/>
    <w:pPr>
      <w:wordWrap w:val="0"/>
    </w:pPr>
  </w:style>
  <w:style w:type="paragraph" w:customStyle="1" w:styleId="22">
    <w:name w:val="First Paragraph"/>
    <w:basedOn w:val="10"/>
    <w:next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341</Words>
  <Characters>1946</Characters>
  <Lines>16</Lines>
  <Paragraphs>4</Paragraphs>
  <TotalTime>16</TotalTime>
  <ScaleCrop>false</ScaleCrop>
  <LinksUpToDate>false</LinksUpToDate>
  <CharactersWithSpaces>2283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2025-10-28T18:43:00Z</dcterms:created>
  <dc:creator>ASUS</dc:creator>
  <cp:lastModifiedBy>Minh Tân Lưu</cp:lastModifiedBy>
  <dcterms:modified xsi:type="dcterms:W3CDTF">2025-11-09T01:55:28Z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F1CFB54226E6476280B2124CF81A2085_12</vt:lpwstr>
  </property>
</Properties>
</file>