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9B0F29" w14:textId="77777777" w:rsidR="00D62F87" w:rsidRPr="00E7485E" w:rsidRDefault="00F05C33">
      <w:pPr>
        <w:jc w:val="center"/>
        <w:rPr>
          <w:rFonts w:ascii="Myriad Set Thin" w:hAnsi="Myriad Set Thin"/>
          <w:szCs w:val="18"/>
          <w:lang w:val="en-US"/>
        </w:rPr>
      </w:pPr>
      <w:r w:rsidRPr="00E7485E">
        <w:rPr>
          <w:rFonts w:ascii="Myriad Set Thin" w:hAnsi="Myriad Set Thin"/>
          <w:szCs w:val="18"/>
          <w:lang w:val="en-US"/>
        </w:rPr>
        <w:t xml:space="preserve">Compiler Construction Class </w:t>
      </w:r>
    </w:p>
    <w:p w14:paraId="3CA16825" w14:textId="77777777" w:rsidR="00D62F87" w:rsidRDefault="00F05C33" w:rsidP="00E7485E">
      <w:pPr>
        <w:jc w:val="center"/>
        <w:rPr>
          <w:rFonts w:ascii="Myriad Set Thin" w:hAnsi="Myriad Set Thin"/>
          <w:szCs w:val="18"/>
          <w:lang w:val="en-US"/>
        </w:rPr>
      </w:pPr>
      <w:r w:rsidRPr="00E7485E">
        <w:rPr>
          <w:rFonts w:ascii="Myriad Set Thin" w:hAnsi="Myriad Set Thin"/>
          <w:szCs w:val="18"/>
          <w:lang w:val="en-US"/>
        </w:rPr>
        <w:t xml:space="preserve"> SS2016</w:t>
      </w:r>
    </w:p>
    <w:p w14:paraId="17251B86" w14:textId="77777777" w:rsidR="00511B67" w:rsidRDefault="00511B67" w:rsidP="00511B67">
      <w:pPr>
        <w:widowControl w:val="0"/>
        <w:spacing w:line="240" w:lineRule="auto"/>
        <w:jc w:val="center"/>
        <w:rPr>
          <w:rFonts w:ascii="Myriad Set Thin" w:hAnsi="Myriad Set Thin"/>
          <w:sz w:val="24"/>
          <w:szCs w:val="24"/>
          <w:lang w:val="en-US"/>
        </w:rPr>
      </w:pPr>
      <w:r w:rsidRPr="00511B67">
        <w:rPr>
          <w:rFonts w:ascii="Myriad Set Thin" w:hAnsi="Myriad Set Thin"/>
          <w:sz w:val="24"/>
          <w:szCs w:val="24"/>
          <w:lang w:val="en-US"/>
        </w:rPr>
        <w:t xml:space="preserve">Assignment </w:t>
      </w:r>
      <w:r w:rsidRPr="00511B67">
        <w:rPr>
          <w:rFonts w:ascii="Myriad Set Thin" w:hAnsi="Myriad Set Thin"/>
          <w:color w:val="333333"/>
          <w:sz w:val="24"/>
          <w:szCs w:val="24"/>
          <w:highlight w:val="white"/>
          <w:lang w:val="en-US"/>
        </w:rPr>
        <w:t>N°</w:t>
      </w:r>
      <w:r w:rsidRPr="00511B67">
        <w:rPr>
          <w:rFonts w:ascii="Myriad Set Thin" w:hAnsi="Myriad Set Thin"/>
          <w:sz w:val="24"/>
          <w:szCs w:val="24"/>
          <w:lang w:val="en-US"/>
        </w:rPr>
        <w:t xml:space="preserve"> 12</w:t>
      </w:r>
      <w:r>
        <w:rPr>
          <w:rFonts w:ascii="Myriad Set Thin" w:hAnsi="Myriad Set Thin"/>
          <w:sz w:val="24"/>
          <w:szCs w:val="24"/>
          <w:lang w:val="en-US"/>
        </w:rPr>
        <w:t xml:space="preserve"> – FINAL ASSIGNMENT</w:t>
      </w:r>
    </w:p>
    <w:p w14:paraId="059DB37B" w14:textId="77777777" w:rsidR="006568BA" w:rsidRPr="00511B67" w:rsidRDefault="006568BA" w:rsidP="00511B67">
      <w:pPr>
        <w:widowControl w:val="0"/>
        <w:spacing w:line="240" w:lineRule="auto"/>
        <w:jc w:val="center"/>
        <w:rPr>
          <w:rFonts w:ascii="Myriad Set Thin" w:hAnsi="Myriad Set Thin"/>
          <w:sz w:val="24"/>
          <w:szCs w:val="24"/>
          <w:lang w:val="en-US"/>
        </w:rPr>
      </w:pPr>
    </w:p>
    <w:tbl>
      <w:tblPr>
        <w:tblStyle w:val="a"/>
        <w:tblW w:w="10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9680"/>
        <w:gridCol w:w="746"/>
      </w:tblGrid>
      <w:tr w:rsidR="00E7485E" w:rsidRPr="00511B67" w14:paraId="204BCFFD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3A52" w14:textId="77777777" w:rsidR="00E7485E" w:rsidRPr="00511B67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b/>
                <w:sz w:val="18"/>
                <w:szCs w:val="18"/>
                <w:lang w:val="en-US"/>
              </w:rPr>
            </w:pPr>
            <w:r w:rsidRPr="00511B67">
              <w:rPr>
                <w:rFonts w:ascii="Myriad Set Thin" w:hAnsi="Myriad Set Thin"/>
                <w:b/>
                <w:color w:val="333333"/>
                <w:sz w:val="18"/>
                <w:szCs w:val="18"/>
                <w:highlight w:val="white"/>
                <w:lang w:val="en-US"/>
              </w:rPr>
              <w:t>N°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1DF3" w14:textId="77777777" w:rsidR="00E7485E" w:rsidRPr="00511B67" w:rsidRDefault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b/>
                <w:szCs w:val="18"/>
                <w:lang w:val="en-US"/>
              </w:rPr>
            </w:pPr>
            <w:r>
              <w:rPr>
                <w:rFonts w:ascii="Myriad Set Thin" w:hAnsi="Myriad Set Thin"/>
                <w:b/>
                <w:color w:val="333333"/>
                <w:szCs w:val="18"/>
                <w:highlight w:val="white"/>
                <w:lang w:val="en-US"/>
              </w:rPr>
              <w:t>What and how</w:t>
            </w:r>
            <w:r w:rsidR="00E7485E" w:rsidRPr="00511B67">
              <w:rPr>
                <w:rFonts w:ascii="Myriad Set Thin" w:hAnsi="Myriad Set Thin"/>
                <w:b/>
                <w:color w:val="333333"/>
                <w:szCs w:val="18"/>
                <w:highlight w:val="white"/>
                <w:lang w:val="en-US"/>
              </w:rPr>
              <w:t xml:space="preserve"> we implemented</w:t>
            </w:r>
            <w:r w:rsidR="00E7485E" w:rsidRPr="00511B67">
              <w:rPr>
                <w:rFonts w:ascii="Myriad Set Thin" w:hAnsi="Myriad Set Thin"/>
                <w:b/>
                <w:color w:val="333333"/>
                <w:szCs w:val="18"/>
                <w:lang w:val="en-US"/>
              </w:rPr>
              <w:t xml:space="preserve"> it</w:t>
            </w:r>
          </w:p>
        </w:tc>
        <w:tc>
          <w:tcPr>
            <w:tcW w:w="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C06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b/>
                <w:color w:val="000000" w:themeColor="text1"/>
                <w:sz w:val="16"/>
                <w:szCs w:val="16"/>
                <w:lang w:val="en-US"/>
              </w:rPr>
            </w:pPr>
            <w:r w:rsidRPr="00CD57E5">
              <w:rPr>
                <w:rFonts w:ascii="Myriad Set Thin" w:hAnsi="Myriad Set Thin"/>
                <w:b/>
                <w:color w:val="000000" w:themeColor="text1"/>
                <w:sz w:val="16"/>
                <w:szCs w:val="16"/>
                <w:lang w:val="en-US"/>
              </w:rPr>
              <w:t>Works?</w:t>
            </w:r>
          </w:p>
        </w:tc>
      </w:tr>
      <w:tr w:rsidR="00E7485E" w:rsidRPr="00E7485E" w14:paraId="671F0FE7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CF6A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1.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D951" w14:textId="77777777" w:rsidR="00E7485E" w:rsidRPr="00E7485E" w:rsidRDefault="00E7485E" w:rsidP="009B6CDE">
            <w:pPr>
              <w:numPr>
                <w:ilvl w:val="0"/>
                <w:numId w:val="4"/>
              </w:numPr>
              <w:ind w:left="180" w:hanging="285"/>
              <w:contextualSpacing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szCs w:val="18"/>
                <w:lang w:val="en-US"/>
              </w:rPr>
              <w:t>implemented the bitwise operations</w:t>
            </w:r>
            <w:r w:rsidRPr="00E7485E">
              <w:rPr>
                <w:rFonts w:ascii="Myriad Set Thin" w:hAnsi="Myriad Set Thin"/>
                <w:i/>
                <w:iCs/>
                <w:szCs w:val="18"/>
                <w:lang w:val="en-US"/>
              </w:rPr>
              <w:t xml:space="preserve"> sll, srl, sllv, srlv </w:t>
            </w:r>
            <w:r w:rsidRPr="00E7485E">
              <w:rPr>
                <w:rFonts w:ascii="Myriad Set Thin" w:hAnsi="Myriad Set Thin"/>
                <w:szCs w:val="18"/>
                <w:lang w:val="en-US"/>
              </w:rPr>
              <w:t xml:space="preserve">and we made </w:t>
            </w:r>
            <w:r w:rsidRPr="00E7485E">
              <w:rPr>
                <w:rFonts w:ascii="Myriad Set Thin" w:hAnsi="Myriad Set Thin"/>
                <w:i/>
                <w:iCs/>
                <w:szCs w:val="18"/>
                <w:lang w:val="en-US"/>
              </w:rPr>
              <w:t>nop</w:t>
            </w:r>
            <w:r w:rsidRPr="00E7485E">
              <w:rPr>
                <w:rFonts w:ascii="Myriad Set Thin" w:hAnsi="Myriad Set Thin"/>
                <w:szCs w:val="18"/>
                <w:lang w:val="en-US"/>
              </w:rPr>
              <w:t xml:space="preserve"> equal to </w:t>
            </w:r>
            <w:r w:rsidRPr="00E7485E">
              <w:rPr>
                <w:rFonts w:ascii="Myriad Set Thin" w:hAnsi="Myriad Set Thin"/>
                <w:i/>
                <w:iCs/>
                <w:szCs w:val="18"/>
                <w:lang w:val="en-US"/>
              </w:rPr>
              <w:t>sll</w:t>
            </w:r>
          </w:p>
          <w:p w14:paraId="4940E107" w14:textId="77777777" w:rsidR="00E7485E" w:rsidRPr="00E7485E" w:rsidRDefault="00E7485E" w:rsidP="009B6CDE">
            <w:pPr>
              <w:numPr>
                <w:ilvl w:val="0"/>
                <w:numId w:val="4"/>
              </w:numPr>
              <w:ind w:left="180" w:hanging="285"/>
              <w:contextualSpacing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szCs w:val="18"/>
                <w:lang w:val="en-US"/>
              </w:rPr>
              <w:t xml:space="preserve"> used the selfie library functions to implement the bitwise operations.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92E6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45E154BA" w14:textId="77777777" w:rsidR="00E7485E" w:rsidRPr="00CD57E5" w:rsidRDefault="00E7485E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  <w:p w14:paraId="707C2EDF" w14:textId="77777777" w:rsidR="00E7485E" w:rsidRPr="00CD57E5" w:rsidRDefault="00E7485E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</w:tc>
      </w:tr>
      <w:tr w:rsidR="00E7485E" w:rsidRPr="00E7485E" w14:paraId="4A842071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4"/>
        </w:trPr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0A87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2.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AF51" w14:textId="77777777" w:rsidR="00E7485E" w:rsidRPr="00E7485E" w:rsidRDefault="00E7485E">
            <w:pPr>
              <w:numPr>
                <w:ilvl w:val="0"/>
                <w:numId w:val="7"/>
              </w:numPr>
              <w:ind w:left="273" w:hanging="360"/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the scanner properly distinguishes </w:t>
            </w: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>&lt;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from </w:t>
            </w: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>&lt;&lt;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and </w:t>
            </w: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>&gt;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from </w:t>
            </w: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 xml:space="preserve">&gt;&gt; </w:t>
            </w:r>
          </w:p>
          <w:p w14:paraId="26347AD6" w14:textId="77777777" w:rsidR="00E7485E" w:rsidRPr="00E7485E" w:rsidRDefault="00E7485E">
            <w:pPr>
              <w:numPr>
                <w:ilvl w:val="0"/>
                <w:numId w:val="7"/>
              </w:numPr>
              <w:ind w:left="273" w:hanging="360"/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>implemented in getSymbol(){...}</w:t>
            </w:r>
          </w:p>
          <w:p w14:paraId="4659375D" w14:textId="77777777" w:rsidR="00E7485E" w:rsidRPr="00E7485E" w:rsidRDefault="00E7485E">
            <w:pPr>
              <w:numPr>
                <w:ilvl w:val="0"/>
                <w:numId w:val="7"/>
              </w:numPr>
              <w:ind w:left="273" w:hanging="360"/>
              <w:contextualSpacing/>
              <w:jc w:val="both"/>
              <w:rPr>
                <w:rFonts w:ascii="Myriad Set Thin" w:hAnsi="Myriad Set Thin"/>
                <w:color w:val="333333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invented unique tokens for the new symbols SYM_LEFTSHIFT = , SYM_RIGHTSHIFT =</w:t>
            </w:r>
          </w:p>
          <w:p w14:paraId="67ADB988" w14:textId="77777777" w:rsidR="00E7485E" w:rsidRPr="00E7485E" w:rsidRDefault="00E7485E">
            <w:pPr>
              <w:numPr>
                <w:ilvl w:val="0"/>
                <w:numId w:val="7"/>
              </w:numPr>
              <w:ind w:left="273" w:hanging="360"/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added a new production rule for the new symbols to the C* grammar: shiftExpression  = simpleExpression { ( "&gt;&gt;" | "&lt;&lt;" ) simpleExpression } . </w:t>
            </w:r>
          </w:p>
          <w:p w14:paraId="0EB392F1" w14:textId="77777777" w:rsidR="00E7485E" w:rsidRPr="00886843" w:rsidRDefault="00E7485E" w:rsidP="00886843">
            <w:pPr>
              <w:numPr>
                <w:ilvl w:val="0"/>
                <w:numId w:val="7"/>
              </w:numPr>
              <w:ind w:left="273" w:hanging="360"/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added a procedure for parsing the new symbols to starc according to the new production rule, used a copy of the procedure for parsing simple expressions as a template.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D6AF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45F0B4B7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3E51B2B6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5F41CEFA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7AAE2502" w14:textId="77777777" w:rsidR="00511B67" w:rsidRPr="00CD57E5" w:rsidRDefault="00511B67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05CEB5EA" w14:textId="77777777" w:rsidR="00E7485E" w:rsidRPr="00CD57E5" w:rsidRDefault="00E7485E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  <w:p w14:paraId="662592F8" w14:textId="77777777" w:rsidR="00E7485E" w:rsidRPr="00CD57E5" w:rsidRDefault="00E7485E" w:rsidP="00CD57E5">
            <w:pPr>
              <w:widowControl w:val="0"/>
              <w:spacing w:line="240" w:lineRule="auto"/>
              <w:ind w:left="15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</w:tc>
      </w:tr>
      <w:tr w:rsidR="00E7485E" w:rsidRPr="00E7485E" w14:paraId="55F4ED28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5B8D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3.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B85" w14:textId="77777777" w:rsidR="00E7485E" w:rsidRPr="00E7485E" w:rsidRDefault="00E7485E" w:rsidP="00E7485E">
            <w:pPr>
              <w:jc w:val="both"/>
              <w:rPr>
                <w:rFonts w:ascii="Myriad Set Thin" w:hAnsi="Myriad Set Thin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Changed the implementation of the leftShift and rightShift procedures using &lt;&lt; and &gt;&gt; instead of * and /. The original semantics of both procedures is preserved.</w:t>
            </w:r>
            <w:r w:rsidRPr="00E7485E">
              <w:rPr>
                <w:rFonts w:ascii="Myriad Set Thin" w:hAnsi="Myriad Set Thin"/>
                <w:szCs w:val="18"/>
                <w:lang w:val="en-US"/>
              </w:rPr>
              <w:t xml:space="preserve"> 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As required we also avoided calling the twoToThePowerOf procedure in our solution.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9B5A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1A4EA3F7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</w:tc>
      </w:tr>
      <w:tr w:rsidR="00E7485E" w:rsidRPr="00E7485E" w14:paraId="47C3DD12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FABD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4.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EB04" w14:textId="77777777" w:rsidR="00886843" w:rsidRDefault="00E7485E" w:rsidP="00E7485E">
            <w:pP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Implemented constant folding in arithmetic expressions. </w:t>
            </w:r>
            <w:r w:rsidR="00886843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(eg. 2+2 is merged to 4)</w:t>
            </w:r>
          </w:p>
          <w:p w14:paraId="0191E7CD" w14:textId="77777777" w:rsidR="00E7485E" w:rsidRPr="00E7485E" w:rsidRDefault="00E7485E" w:rsidP="00E7485E">
            <w:pPr>
              <w:rPr>
                <w:rFonts w:ascii="Myriad Set Thin" w:hAnsi="Myriad Set Thin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Introduced a grammar attribute that represents the value of an expression if available. Added methods createAttribute(); where we allocated the 2 addresses for the type and the value; added getter and setter methods, also added resetAttribute(attribut) method to put zeros there. Added a method loadConstantBeforeNonconstant() Used the attribute to evaluate constant expressions at compile time and delay code generation for arithmetic expressions accordingly. Represented the attribute by a call-by-reference parameter to the involved parsing procedures.  Tested our code by including code snippets in </w:t>
            </w:r>
            <w:r w:rsidRPr="00E7485E">
              <w:rPr>
                <w:rFonts w:ascii="Myriad Set Thin" w:hAnsi="Myriad Set Thin"/>
                <w:color w:val="333333"/>
                <w:szCs w:val="18"/>
                <w:lang w:val="en-US"/>
              </w:rPr>
              <w:t>main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that are subject to constant folding.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53CD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3779BF62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54AFE4B9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7AE66A0A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747F03DB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</w:tc>
      </w:tr>
      <w:tr w:rsidR="00E7485E" w:rsidRPr="00E7485E" w14:paraId="4C83B77F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E6C3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5.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9DE9" w14:textId="3FB4BB33" w:rsidR="00E7485E" w:rsidRPr="00E7485E" w:rsidRDefault="00E7485E" w:rsidP="00B575B8">
            <w:pPr>
              <w:jc w:val="both"/>
              <w:rPr>
                <w:rFonts w:ascii="Myriad Set Thin" w:hAnsi="Myriad Set Thin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Did the implementation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</w:t>
            </w:r>
            <w:r w:rsidR="00886843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for arrays 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and extended </w:t>
            </w:r>
            <w:r w:rsidR="006568BA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the grammar </w:t>
            </w:r>
            <w:r w:rsidR="00B575B8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just</w:t>
            </w:r>
            <w:r w:rsidR="006568BA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like Niklaus Wirth in </w:t>
            </w:r>
            <w:r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Compiler Construction</w:t>
            </w:r>
            <w:r w:rsidR="006568BA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.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 xml:space="preserve">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A9AB" w14:textId="77777777" w:rsidR="00511B67" w:rsidRDefault="00511B67" w:rsidP="00CD57E5">
            <w:pPr>
              <w:widowControl w:val="0"/>
              <w:spacing w:line="240" w:lineRule="auto"/>
              <w:contextualSpacing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4514DD89" w14:textId="77777777" w:rsidR="00CD57E5" w:rsidRPr="00CD57E5" w:rsidRDefault="00CD57E5" w:rsidP="00CD57E5">
            <w:pPr>
              <w:widowControl w:val="0"/>
              <w:spacing w:line="240" w:lineRule="auto"/>
              <w:contextualSpacing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</w:tc>
      </w:tr>
      <w:tr w:rsidR="00E7485E" w:rsidRPr="00E7485E" w14:paraId="098ED53B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5E19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6.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D28E" w14:textId="77777777" w:rsidR="00E7485E" w:rsidRPr="00E7485E" w:rsidRDefault="008750A4" w:rsidP="00E7485E">
            <w:pPr>
              <w:jc w:val="both"/>
              <w:rPr>
                <w:rFonts w:ascii="Myriad Set Thin" w:hAnsi="Myriad Set Thin"/>
                <w:szCs w:val="18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lang w:val="en-US"/>
              </w:rPr>
              <w:t>Adapted grammer and parser to recognize two dimensional arrays. Adapted how to calculate the address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 xml:space="preserve"> accordingly.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399" w14:textId="77777777" w:rsidR="00511B67" w:rsidRPr="00CD57E5" w:rsidRDefault="00511B67" w:rsidP="00CD57E5">
            <w:pPr>
              <w:widowControl w:val="0"/>
              <w:spacing w:line="240" w:lineRule="auto"/>
              <w:contextualSpacing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470AEF65" w14:textId="77777777" w:rsidR="00511B67" w:rsidRPr="00CD57E5" w:rsidRDefault="00511B67" w:rsidP="00CD57E5">
            <w:pPr>
              <w:widowControl w:val="0"/>
              <w:spacing w:line="240" w:lineRule="auto"/>
              <w:contextualSpacing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</w:tc>
      </w:tr>
      <w:tr w:rsidR="00E7485E" w:rsidRPr="00E7485E" w14:paraId="2BC5DE6A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C40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7.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565A" w14:textId="77777777" w:rsidR="00E7485E" w:rsidRPr="00E7485E" w:rsidRDefault="008750A4" w:rsidP="008750A4">
            <w:pPr>
              <w:jc w:val="both"/>
              <w:rPr>
                <w:rFonts w:ascii="Myriad Set Thin" w:hAnsi="Myriad Set Thin"/>
                <w:szCs w:val="18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lang w:val="en-US"/>
              </w:rPr>
              <w:t>Adapted Scanner to recognize structs and added symbol for structs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.</w:t>
            </w:r>
          </w:p>
        </w:tc>
        <w:tc>
          <w:tcPr>
            <w:tcW w:w="746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58AA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502B64C6" w14:textId="77777777" w:rsidR="00E7485E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~</w:t>
            </w:r>
          </w:p>
        </w:tc>
      </w:tr>
      <w:tr w:rsidR="00E7485E" w:rsidRPr="00E7485E" w14:paraId="411D7095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6438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8.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9EC5" w14:textId="7A1E4F09" w:rsidR="00E7485E" w:rsidRPr="00E7485E" w:rsidRDefault="00CD57E5" w:rsidP="00CD57E5">
            <w:pPr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highlight w:val="white"/>
              </w:rPr>
              <w:t>Implemented s</w:t>
            </w:r>
            <w:r w:rsidRPr="00CD57E5">
              <w:rPr>
                <w:rFonts w:ascii="Myriad Set Thin" w:hAnsi="Myriad Set Thin"/>
                <w:color w:val="333333"/>
                <w:szCs w:val="18"/>
                <w:highlight w:val="white"/>
              </w:rPr>
              <w:t>tructs and struct access - BUT struggling with demonstration of self-compilation when implementing the symbol table with structs.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</w:rPr>
              <w:t xml:space="preserve"> W</w:t>
            </w:r>
            <w:r w:rsidR="00694E3B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e are still struggling with it although we know the theoretical background and how to calculate the addresses where the structs are stored.</w:t>
            </w:r>
            <w:r w:rsidR="00B575B8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So we reverted back to a version without struct access to become self compiling again.</w:t>
            </w:r>
            <w:bookmarkStart w:id="0" w:name="_GoBack"/>
            <w:bookmarkEnd w:id="0"/>
          </w:p>
        </w:tc>
        <w:tc>
          <w:tcPr>
            <w:tcW w:w="746" w:type="dxa"/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D105" w14:textId="77777777" w:rsidR="00511B67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</w:p>
          <w:p w14:paraId="258D8469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-</w:t>
            </w:r>
          </w:p>
        </w:tc>
      </w:tr>
      <w:tr w:rsidR="00E7485E" w:rsidRPr="00E7485E" w14:paraId="3CE72A05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E610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9.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B6CD" w14:textId="77777777" w:rsidR="00E7485E" w:rsidRDefault="00694E3B" w:rsidP="003A1D7A">
            <w:pPr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We implemented </w:t>
            </w:r>
            <w:r w:rsidR="00E7485E"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the </w:t>
            </w:r>
            <w:r w:rsidR="00F54D15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&amp;&amp;, ||</w:t>
            </w:r>
            <w:r w:rsidR="00CD57E5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in gr_expression</w:t>
            </w:r>
            <w:r w:rsidR="00511B67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. But we did not implement !</w:t>
            </w:r>
            <w:r w:rsidR="003A1D7A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and</w:t>
            </w:r>
            <w:r w:rsidR="00E7485E"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lazy evaluation</w:t>
            </w:r>
            <w:r w:rsidR="003A1D7A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.</w:t>
            </w:r>
            <w:r w:rsidR="00E7485E" w:rsidRPr="00E7485E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</w:t>
            </w:r>
          </w:p>
          <w:p w14:paraId="5C3398C8" w14:textId="761F2AD5" w:rsidR="003A1D7A" w:rsidRPr="00694E3B" w:rsidRDefault="003A1D7A" w:rsidP="003A1D7A">
            <w:pPr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BEN </w:t>
            </w:r>
            <w:r w:rsidR="00B575B8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–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TODO</w:t>
            </w:r>
          </w:p>
        </w:tc>
        <w:tc>
          <w:tcPr>
            <w:tcW w:w="746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2758" w14:textId="77777777" w:rsidR="00E7485E" w:rsidRPr="00CD57E5" w:rsidRDefault="00511B67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~</w:t>
            </w:r>
          </w:p>
        </w:tc>
      </w:tr>
      <w:tr w:rsidR="00E7485E" w:rsidRPr="00E7485E" w14:paraId="0E3C8F90" w14:textId="77777777" w:rsidTr="00511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D7F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10.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4625" w14:textId="3A3E10FB" w:rsidR="00E7485E" w:rsidRPr="00511B67" w:rsidRDefault="003A1D7A" w:rsidP="00511B67">
            <w:pPr>
              <w:contextualSpacing/>
              <w:jc w:val="both"/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BEN </w:t>
            </w:r>
            <w:r w:rsidR="00B575B8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–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 TODO</w:t>
            </w:r>
          </w:p>
        </w:tc>
        <w:tc>
          <w:tcPr>
            <w:tcW w:w="746" w:type="dxa"/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DE73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-</w:t>
            </w:r>
          </w:p>
        </w:tc>
      </w:tr>
      <w:tr w:rsidR="00E7485E" w:rsidRPr="00E7485E" w14:paraId="08B75FB9" w14:textId="77777777" w:rsidTr="006568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</w:trPr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3A1D" w14:textId="77777777" w:rsidR="00E7485E" w:rsidRPr="00E7485E" w:rsidRDefault="00E7485E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sz w:val="18"/>
                <w:szCs w:val="18"/>
                <w:lang w:val="en-US"/>
              </w:rPr>
            </w:pPr>
            <w:r w:rsidRPr="00E7485E">
              <w:rPr>
                <w:rFonts w:ascii="Myriad Set Thin" w:hAnsi="Myriad Set Thin"/>
                <w:color w:val="333333"/>
                <w:sz w:val="18"/>
                <w:szCs w:val="18"/>
                <w:highlight w:val="white"/>
                <w:lang w:val="en-US"/>
              </w:rPr>
              <w:t>11.</w:t>
            </w:r>
          </w:p>
        </w:tc>
        <w:tc>
          <w:tcPr>
            <w:tcW w:w="9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4A39" w14:textId="77777777" w:rsidR="00E7485E" w:rsidRPr="00E7485E" w:rsidRDefault="006568BA" w:rsidP="006568BA">
            <w:pPr>
              <w:contextualSpacing/>
              <w:jc w:val="both"/>
              <w:rPr>
                <w:rFonts w:ascii="Myriad Set Thin" w:hAnsi="Myriad Set Thin"/>
                <w:color w:val="333333"/>
                <w:szCs w:val="18"/>
                <w:lang w:val="en-US"/>
              </w:rPr>
            </w:pP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If the size </w:t>
            </w:r>
            <w:r w:rsidR="00CD57E5"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 xml:space="preserve">of entry to be added </w:t>
            </w:r>
            <w:r>
              <w:rPr>
                <w:rFonts w:ascii="Myriad Set Thin" w:hAnsi="Myriad Set Thin"/>
                <w:color w:val="333333"/>
                <w:szCs w:val="18"/>
                <w:highlight w:val="white"/>
                <w:lang w:val="en-US"/>
              </w:rPr>
              <w:t>is equal to symbol table entry size we reuse the memory.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 xml:space="preserve"> </w:t>
            </w:r>
            <w:r w:rsidR="00CD57E5">
              <w:rPr>
                <w:rFonts w:ascii="Myriad Set Thin" w:hAnsi="Myriad Set Thin"/>
                <w:color w:val="333333"/>
                <w:szCs w:val="18"/>
                <w:lang w:val="en-US"/>
              </w:rPr>
              <w:t>Fully implemented and working.</w:t>
            </w:r>
          </w:p>
        </w:tc>
        <w:tc>
          <w:tcPr>
            <w:tcW w:w="74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1E77" w14:textId="77777777" w:rsidR="00E7485E" w:rsidRPr="00CD57E5" w:rsidRDefault="00E7485E" w:rsidP="00CD57E5">
            <w:pPr>
              <w:widowControl w:val="0"/>
              <w:spacing w:line="240" w:lineRule="auto"/>
              <w:jc w:val="center"/>
              <w:rPr>
                <w:rFonts w:ascii="Myriad Set Thin" w:hAnsi="Myriad Set Thin"/>
                <w:color w:val="000000" w:themeColor="text1"/>
                <w:szCs w:val="18"/>
                <w:lang w:val="en-US"/>
              </w:rPr>
            </w:pPr>
            <w:r w:rsidRPr="00CD57E5">
              <w:rPr>
                <w:rFonts w:ascii="Myriad Set Thin" w:hAnsi="Myriad Set Thin"/>
                <w:color w:val="000000" w:themeColor="text1"/>
                <w:szCs w:val="18"/>
                <w:lang w:val="en-US"/>
              </w:rPr>
              <w:t>+</w:t>
            </w:r>
          </w:p>
        </w:tc>
      </w:tr>
    </w:tbl>
    <w:p w14:paraId="7DE0014A" w14:textId="77777777" w:rsidR="00511B67" w:rsidRDefault="00511B67">
      <w:pPr>
        <w:jc w:val="both"/>
        <w:rPr>
          <w:rFonts w:ascii="Myriad Set Thin" w:hAnsi="Myriad Set Thin"/>
          <w:color w:val="333333"/>
          <w:szCs w:val="18"/>
          <w:highlight w:val="white"/>
          <w:lang w:val="en-US"/>
        </w:rPr>
      </w:pPr>
    </w:p>
    <w:p w14:paraId="159E5FDB" w14:textId="77777777" w:rsidR="00D62F87" w:rsidRPr="00E7485E" w:rsidRDefault="00CD57E5">
      <w:pPr>
        <w:jc w:val="both"/>
        <w:rPr>
          <w:rFonts w:ascii="Myriad Set Thin" w:hAnsi="Myriad Set Thin"/>
          <w:szCs w:val="18"/>
          <w:lang w:val="en-US"/>
        </w:rPr>
      </w:pPr>
      <w:r>
        <w:rPr>
          <w:rFonts w:ascii="Myriad Set Thin" w:hAnsi="Myriad Set Thin"/>
          <w:color w:val="333333"/>
          <w:szCs w:val="18"/>
          <w:highlight w:val="white"/>
          <w:lang w:val="en-US"/>
        </w:rPr>
        <w:t>Additionally</w:t>
      </w:r>
      <w:r w:rsidR="00511B67">
        <w:rPr>
          <w:rFonts w:ascii="Myriad Set Thin" w:hAnsi="Myriad Set Thin"/>
          <w:color w:val="333333"/>
          <w:szCs w:val="18"/>
          <w:highlight w:val="white"/>
          <w:lang w:val="en-US"/>
        </w:rPr>
        <w:t xml:space="preserve"> we</w:t>
      </w:r>
      <w:r w:rsidR="00F05C33" w:rsidRPr="00E7485E">
        <w:rPr>
          <w:rFonts w:ascii="Myriad Set Thin" w:hAnsi="Myriad Set Thin"/>
          <w:color w:val="333333"/>
          <w:szCs w:val="18"/>
          <w:highlight w:val="white"/>
          <w:lang w:val="en-US"/>
        </w:rPr>
        <w:t xml:space="preserve"> reduced a lot of repeated code to make the gr_methods more readable and understandable, comme</w:t>
      </w:r>
      <w:r w:rsidR="00511B67">
        <w:rPr>
          <w:rFonts w:ascii="Myriad Set Thin" w:hAnsi="Myriad Set Thin"/>
          <w:color w:val="333333"/>
          <w:szCs w:val="18"/>
          <w:highlight w:val="white"/>
          <w:lang w:val="en-US"/>
        </w:rPr>
        <w:t>nted a lot the states of the ma</w:t>
      </w:r>
      <w:r w:rsidR="00F05C33" w:rsidRPr="00E7485E">
        <w:rPr>
          <w:rFonts w:ascii="Myriad Set Thin" w:hAnsi="Myriad Set Thin"/>
          <w:color w:val="333333"/>
          <w:szCs w:val="18"/>
          <w:highlight w:val="white"/>
          <w:lang w:val="en-US"/>
        </w:rPr>
        <w:t>chine while taking the new symbol.</w:t>
      </w:r>
    </w:p>
    <w:sectPr w:rsidR="00D62F87" w:rsidRPr="00E7485E">
      <w:headerReference w:type="default" r:id="rId8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09870" w14:textId="77777777" w:rsidR="00F05C33" w:rsidRDefault="00F05C33" w:rsidP="009B6CDE">
      <w:pPr>
        <w:spacing w:line="240" w:lineRule="auto"/>
      </w:pPr>
      <w:r>
        <w:separator/>
      </w:r>
    </w:p>
  </w:endnote>
  <w:endnote w:type="continuationSeparator" w:id="0">
    <w:p w14:paraId="5AC46836" w14:textId="77777777" w:rsidR="00F05C33" w:rsidRDefault="00F05C33" w:rsidP="009B6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Set Thin">
    <w:altName w:val="Myriad Set"/>
    <w:charset w:val="00"/>
    <w:family w:val="auto"/>
    <w:pitch w:val="variable"/>
    <w:sig w:usb0="A000006F" w:usb1="5000001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B3BF2" w14:textId="77777777" w:rsidR="00F05C33" w:rsidRDefault="00F05C33" w:rsidP="009B6CDE">
      <w:pPr>
        <w:spacing w:line="240" w:lineRule="auto"/>
      </w:pPr>
      <w:r>
        <w:separator/>
      </w:r>
    </w:p>
  </w:footnote>
  <w:footnote w:type="continuationSeparator" w:id="0">
    <w:p w14:paraId="33D7768E" w14:textId="77777777" w:rsidR="00F05C33" w:rsidRDefault="00F05C33" w:rsidP="009B6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D528F" w14:textId="77777777" w:rsidR="006568BA" w:rsidRDefault="006568BA" w:rsidP="006568BA">
    <w:pPr>
      <w:pStyle w:val="Kopfzeile"/>
    </w:pPr>
    <w:r>
      <w:t>Ganna Shulika, Michael Noppinger, Benjamin Scherer</w:t>
    </w:r>
  </w:p>
  <w:p w14:paraId="67D5220C" w14:textId="77777777" w:rsidR="006568BA" w:rsidRDefault="006568BA" w:rsidP="006568BA">
    <w:pPr>
      <w:pStyle w:val="Fuzeile"/>
    </w:pPr>
  </w:p>
  <w:p w14:paraId="768807FD" w14:textId="77777777" w:rsidR="006568BA" w:rsidRPr="006568BA" w:rsidRDefault="006568BA" w:rsidP="006568B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293"/>
    <w:multiLevelType w:val="multilevel"/>
    <w:tmpl w:val="C5C8282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16D23889"/>
    <w:multiLevelType w:val="multilevel"/>
    <w:tmpl w:val="54CEBC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B110F2E"/>
    <w:multiLevelType w:val="multilevel"/>
    <w:tmpl w:val="2AEC2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CB3BD3"/>
    <w:multiLevelType w:val="multilevel"/>
    <w:tmpl w:val="8B3029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1EDA5253"/>
    <w:multiLevelType w:val="multilevel"/>
    <w:tmpl w:val="E5847E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4887826"/>
    <w:multiLevelType w:val="multilevel"/>
    <w:tmpl w:val="47E204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C25212C"/>
    <w:multiLevelType w:val="multilevel"/>
    <w:tmpl w:val="AF24A6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39B6012"/>
    <w:multiLevelType w:val="multilevel"/>
    <w:tmpl w:val="D5467F2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48610831"/>
    <w:multiLevelType w:val="multilevel"/>
    <w:tmpl w:val="ECECB7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88A06ED"/>
    <w:multiLevelType w:val="multilevel"/>
    <w:tmpl w:val="DDEE8F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E3C1231"/>
    <w:multiLevelType w:val="multilevel"/>
    <w:tmpl w:val="1F2C47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51B266E0"/>
    <w:multiLevelType w:val="multilevel"/>
    <w:tmpl w:val="DE7E25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5B7B44C8"/>
    <w:multiLevelType w:val="multilevel"/>
    <w:tmpl w:val="BD1682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759A6FA8"/>
    <w:multiLevelType w:val="multilevel"/>
    <w:tmpl w:val="91FAB9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7A4739BC"/>
    <w:multiLevelType w:val="multilevel"/>
    <w:tmpl w:val="4B44FEF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CAC1C77"/>
    <w:multiLevelType w:val="multilevel"/>
    <w:tmpl w:val="7930AD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15"/>
  </w:num>
  <w:num w:numId="13">
    <w:abstractNumId w:val="5"/>
  </w:num>
  <w:num w:numId="14">
    <w:abstractNumId w:val="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F87"/>
    <w:rsid w:val="00056712"/>
    <w:rsid w:val="003A1D7A"/>
    <w:rsid w:val="00511B67"/>
    <w:rsid w:val="006568BA"/>
    <w:rsid w:val="00694E3B"/>
    <w:rsid w:val="008750A4"/>
    <w:rsid w:val="00886843"/>
    <w:rsid w:val="009B6CDE"/>
    <w:rsid w:val="00B575B8"/>
    <w:rsid w:val="00CD57E5"/>
    <w:rsid w:val="00D62F87"/>
    <w:rsid w:val="00E7485E"/>
    <w:rsid w:val="00F05C33"/>
    <w:rsid w:val="00F5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4F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9B6CD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CDE"/>
  </w:style>
  <w:style w:type="paragraph" w:styleId="Fuzeile">
    <w:name w:val="footer"/>
    <w:basedOn w:val="Standard"/>
    <w:link w:val="FuzeileZchn"/>
    <w:uiPriority w:val="99"/>
    <w:unhideWhenUsed/>
    <w:rsid w:val="009B6CD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A43654-FC09-C84B-88F4-F1DDA24D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Noppinger</cp:lastModifiedBy>
  <cp:revision>4</cp:revision>
  <dcterms:created xsi:type="dcterms:W3CDTF">2016-06-29T21:33:00Z</dcterms:created>
  <dcterms:modified xsi:type="dcterms:W3CDTF">2016-06-29T23:24:00Z</dcterms:modified>
</cp:coreProperties>
</file>