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우편영업실 인수인계서(2024. 2., 전전임자 가상 이름: 윤도영)</w:t>
      </w:r>
    </w:p>
    <w:p>
      <w:r>
        <w:t xml:space="preserve">1. 연간 주요 일정: 3월 세부추진계획 수립, 7월 진도점검 회의, 9월 추석 특별소통, 12월 연말연시 특별소통, 2월 목표 배정 수령</w:t>
      </w:r>
    </w:p>
    <w:p>
      <w:r>
        <w:t xml:space="preserve">2. 요금후납 계약: 갱신 안내는 만료 2개월 전, 신청서 접수 후 계약서는 과장 결재</w:t>
      </w:r>
    </w:p>
    <w:p>
      <w:r>
        <w:t xml:space="preserve">3. 유의사항: 우수사례 제출 자료는 제출 1주 전 과장 검토를 받을 것</w:t>
      </w:r>
    </w:p>
    <w:p>
      <w:r>
        <w:t xml:space="preserve">4. 집중국 발착팀과는 특별소통기간 전에 반드시 통화할 것(접수 마감시간이 해마다 바뀜)</w:t>
      </w:r>
    </w:p>
  </w:body>
</w:document>
</file>