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b/>
          <w:bCs/>
          <w:color w:val="047857"/>
          <w:spacing w:val="40"/>
          <w:sz w:val="22"/>
          <w:szCs w:val="22"/>
        </w:rPr>
        <w:t xml:space="preserve">FUTUREBOX</w:t>
      </w:r>
    </w:p>
    <w:p>
      <w:pPr>
        <w:spacing w:after="120"/>
      </w:pPr>
      <w:r>
        <w:rPr>
          <w:b/>
          <w:bCs/>
          <w:color w:val="1a1a1a"/>
          <w:sz w:val="48"/>
          <w:szCs w:val="48"/>
        </w:rPr>
        <w:t xml:space="preserve">Getting legal, and getting into the stores</w:t>
      </w:r>
    </w:p>
    <w:p>
      <w:pPr>
        <w:spacing w:after="400"/>
      </w:pPr>
      <w:r>
        <w:rPr>
          <w:color w:val="6b7280"/>
          <w:sz w:val="24"/>
          <w:szCs w:val="24"/>
        </w:rPr>
        <w:t xml:space="preserve">What to register, in what order, what it costs, and what each one will refuse you for</w:t>
      </w:r>
    </w:p>
    <w:p>
      <w:pPr>
        <w:pBdr>
          <w:bottom w:val="single" w:color="d1d5db" w:sz="6"/>
        </w:pBdr>
        <w:spacing w:after="200" w:before="200"/>
      </w:pPr>
    </w:p>
    <w:p>
      <w:pPr>
        <w:spacing w:after="60" w:line="276"/>
      </w:pPr>
      <w:r>
        <w:rPr>
          <w:b/>
          <w:bCs/>
          <w:color w:val="1a1a1a"/>
          <w:sz w:val="21"/>
          <w:szCs w:val="21"/>
        </w:rPr>
        <w:t xml:space="preserve">Prepared for: </w:t>
      </w:r>
      <w:r>
        <w:rPr>
          <w:color w:val="1a1a1a"/>
          <w:sz w:val="21"/>
          <w:szCs w:val="21"/>
        </w:rPr>
        <w:t xml:space="preserve">the owner of FutureBox</w:t>
      </w:r>
    </w:p>
    <w:p>
      <w:pPr>
        <w:spacing w:after="60" w:line="276"/>
      </w:pPr>
      <w:r>
        <w:rPr>
          <w:b/>
          <w:bCs/>
          <w:color w:val="1a1a1a"/>
          <w:sz w:val="21"/>
          <w:szCs w:val="21"/>
        </w:rPr>
        <w:t xml:space="preserve">Country: </w:t>
      </w:r>
      <w:r>
        <w:rPr>
          <w:color w:val="1a1a1a"/>
          <w:sz w:val="21"/>
          <w:szCs w:val="21"/>
        </w:rPr>
        <w:t xml:space="preserve">South Africa (with the two app stores, which are not)</w:t>
      </w:r>
    </w:p>
    <w:p>
      <w:pPr>
        <w:spacing w:after="400" w:line="276"/>
      </w:pPr>
      <w:r>
        <w:rPr>
          <w:b/>
          <w:bCs/>
          <w:color w:val="1a1a1a"/>
          <w:sz w:val="21"/>
          <w:szCs w:val="21"/>
        </w:rPr>
        <w:t xml:space="preserve">Covers: </w:t>
      </w:r>
      <w:r>
        <w:rPr>
          <w:color w:val="1a1a1a"/>
          <w:sz w:val="21"/>
          <w:szCs w:val="21"/>
        </w:rPr>
        <w:t xml:space="preserve">business registration, tax, POPIA and consumer law, and publishing to Google Play and the Apple App Store</w:t>
      </w:r>
    </w:p>
    <w:tbl>
      <w:tblPr>
        <w:tblW w:type="dxa" w:w="9026"/>
        <w:tblBorders>
          <w:top w:val="single" w:color="b91c1c" w:sz="2"/>
          <w:left w:val="single" w:color="b91c1c" w:sz="12"/>
          <w:bottom w:val="single" w:color="b91c1c" w:sz="2"/>
          <w:right w:val="single" w:color="b91c1c" w:sz="2"/>
          <w:insideH w:val="none" w:color="auto" w:sz="0"/>
          <w:insideV w:val="none" w:color="auto" w:sz="0"/>
        </w:tblBorders>
      </w:tblPr>
      <w:tblGrid>
        <w:gridCol w:w="9026"/>
      </w:tblGrid>
      <w:tr>
        <w:trPr>
          <w:cantSplit/>
        </w:trPr>
        <w:tc>
          <w:tcPr>
            <w:tcW w:type="dxa" w:w="9026"/>
            <w:shd w:fill="fee2e2" w:color="auto" w:val="clear"/>
            <w:tcMar>
              <w:top w:type="dxa" w:w="160"/>
              <w:left w:type="dxa" w:w="200"/>
              <w:bottom w:type="dxa" w:w="160"/>
              <w:right w:type="dxa" w:w="200"/>
            </w:tcMar>
          </w:tcPr>
          <w:p>
            <w:pPr>
              <w:spacing w:after="80"/>
            </w:pPr>
            <w:r>
              <w:rPr>
                <w:b/>
                <w:bCs/>
                <w:color w:val="b91c1c"/>
                <w:sz w:val="21"/>
                <w:szCs w:val="21"/>
              </w:rPr>
              <w:t xml:space="preserve">Read this first — every number in here has to be checked</w:t>
            </w:r>
          </w:p>
          <w:p>
            <w:pPr>
              <w:spacing w:after="60" w:line="276"/>
            </w:pPr>
            <w:r>
              <w:rPr>
                <w:color w:val="1a1a1a"/>
                <w:sz w:val="20"/>
                <w:szCs w:val="20"/>
              </w:rPr>
              <w:t xml:space="preserve">Government fees, Apple and Google fees, and store policies all change, and some of the rules below changed within the last year. Everything in this document is written from knowledge with a cut-off date, not from a live lookup.</w:t>
            </w:r>
          </w:p>
          <w:p>
            <w:pPr>
              <w:spacing w:after="60" w:line="276"/>
            </w:pPr>
            <w:r>
              <w:rPr>
                <w:color w:val="1a1a1a"/>
                <w:sz w:val="20"/>
                <w:szCs w:val="20"/>
              </w:rPr>
              <w:t xml:space="preserve">So every amount is marked “verify”, and every rule that decides whether you are accepted names the page it comes from. Check each one on the official site before you budget or build against it. Where a figure would change a decision rather than a line item, it is called out in the text as well.</w:t>
            </w:r>
          </w:p>
          <w:p>
            <w:pPr>
              <w:spacing w:after="60" w:line="276"/>
            </w:pPr>
            <w:r>
              <w:rPr>
                <w:color w:val="1a1a1a"/>
                <w:sz w:val="20"/>
                <w:szCs w:val="20"/>
              </w:rPr>
              <w:t xml:space="preserve">This is practical guidance, not legal or tax advice. The company registration and the tax registrations you can do yourself. The POPIA and consumer-law sections are where an hour with a South African attorney is worth more than anything in this document.</w:t>
            </w:r>
          </w:p>
        </w:tc>
      </w:tr>
    </w:tbl>
    <w:p>
      <w:pPr>
        <w:pStyle w:val="Heading1"/>
        <w:pageBreakBefore/>
        <w:spacing w:after="180" w:before="360"/>
      </w:pPr>
      <w:r>
        <w:rPr>
          <w:b/>
          <w:bCs/>
          <w:color w:val="1a1a1a"/>
          <w:sz w:val="32"/>
          <w:szCs w:val="32"/>
        </w:rPr>
        <w:t xml:space="preserve">What is in here</w:t>
      </w:r>
    </w:p>
    <w:p>
      <w:pPr>
        <w:spacing w:after="60" w:before="200"/>
      </w:pPr>
      <w:r>
        <w:rPr>
          <w:b/>
          <w:bCs/>
          <w:color w:val="1a1a1a"/>
          <w:sz w:val="22"/>
          <w:szCs w:val="22"/>
        </w:rPr>
        <w:t xml:space="preserve">The short version</w:t>
      </w:r>
    </w:p>
    <w:p>
      <w:pPr>
        <w:spacing w:after="40"/>
        <w:ind w:left="360"/>
      </w:pPr>
      <w:r>
        <w:rPr>
          <w:color w:val="6b7280"/>
          <w:sz w:val="20"/>
          <w:szCs w:val="20"/>
        </w:rPr>
        <w:t xml:space="preserve">The five things that decide the most</w:t>
      </w:r>
    </w:p>
    <w:p>
      <w:pPr>
        <w:spacing w:after="60" w:before="200"/>
      </w:pPr>
      <w:r>
        <w:rPr>
          <w:b/>
          <w:bCs/>
          <w:color w:val="1a1a1a"/>
          <w:sz w:val="22"/>
          <w:szCs w:val="22"/>
        </w:rPr>
        <w:t xml:space="preserve">Part 1 — The company</w:t>
      </w:r>
    </w:p>
    <w:p>
      <w:pPr>
        <w:spacing w:after="40"/>
        <w:ind w:left="360"/>
      </w:pPr>
      <w:r>
        <w:rPr>
          <w:color w:val="6b7280"/>
          <w:sz w:val="20"/>
          <w:szCs w:val="20"/>
        </w:rPr>
        <w:t xml:space="preserve">1.1  Which kind of business to register</w:t>
      </w:r>
    </w:p>
    <w:p>
      <w:pPr>
        <w:spacing w:after="40"/>
        <w:ind w:left="360"/>
      </w:pPr>
      <w:r>
        <w:rPr>
          <w:color w:val="6b7280"/>
          <w:sz w:val="20"/>
          <w:szCs w:val="20"/>
        </w:rPr>
        <w:t xml:space="preserve">1.2  Registering the company</w:t>
      </w:r>
    </w:p>
    <w:p>
      <w:pPr>
        <w:spacing w:after="40"/>
        <w:ind w:left="360"/>
      </w:pPr>
      <w:r>
        <w:rPr>
          <w:color w:val="6b7280"/>
          <w:sz w:val="20"/>
          <w:szCs w:val="20"/>
        </w:rPr>
        <w:t xml:space="preserve">1.3  Tax</w:t>
      </w:r>
    </w:p>
    <w:p>
      <w:pPr>
        <w:spacing w:after="40"/>
        <w:ind w:left="360"/>
      </w:pPr>
      <w:r>
        <w:rPr>
          <w:color w:val="6b7280"/>
          <w:sz w:val="20"/>
          <w:szCs w:val="20"/>
        </w:rPr>
        <w:t xml:space="preserve">1.4  The bank account</w:t>
      </w:r>
    </w:p>
    <w:p>
      <w:pPr>
        <w:spacing w:after="40"/>
        <w:ind w:left="360"/>
      </w:pPr>
      <w:r>
        <w:rPr>
          <w:color w:val="6b7280"/>
          <w:sz w:val="20"/>
          <w:szCs w:val="20"/>
        </w:rPr>
        <w:t xml:space="preserve">1.5  The name, the domain and the trademark</w:t>
      </w:r>
    </w:p>
    <w:p>
      <w:pPr>
        <w:spacing w:after="60" w:before="200"/>
      </w:pPr>
      <w:r>
        <w:rPr>
          <w:b/>
          <w:bCs/>
          <w:color w:val="1a1a1a"/>
          <w:sz w:val="22"/>
          <w:szCs w:val="22"/>
        </w:rPr>
        <w:t xml:space="preserve">Part 2 — Before you take money from strangers</w:t>
      </w:r>
    </w:p>
    <w:p>
      <w:pPr>
        <w:spacing w:after="40"/>
        <w:ind w:left="360"/>
      </w:pPr>
      <w:r>
        <w:rPr>
          <w:color w:val="6b7280"/>
          <w:sz w:val="20"/>
          <w:szCs w:val="20"/>
        </w:rPr>
        <w:t xml:space="preserve">2.1  POPIA</w:t>
      </w:r>
    </w:p>
    <w:p>
      <w:pPr>
        <w:spacing w:after="40"/>
        <w:ind w:left="360"/>
      </w:pPr>
      <w:r>
        <w:rPr>
          <w:color w:val="6b7280"/>
          <w:sz w:val="20"/>
          <w:szCs w:val="20"/>
        </w:rPr>
        <w:t xml:space="preserve">2.2  What the law makes you publish</w:t>
      </w:r>
    </w:p>
    <w:p>
      <w:pPr>
        <w:spacing w:after="40"/>
        <w:ind w:left="360"/>
      </w:pPr>
      <w:r>
        <w:rPr>
          <w:color w:val="6b7280"/>
          <w:sz w:val="20"/>
          <w:szCs w:val="20"/>
        </w:rPr>
        <w:t xml:space="preserve">2.3  Cancelling, cooling off and refunds</w:t>
      </w:r>
    </w:p>
    <w:p>
      <w:pPr>
        <w:spacing w:after="40"/>
        <w:ind w:left="360"/>
      </w:pPr>
      <w:r>
        <w:rPr>
          <w:color w:val="6b7280"/>
          <w:sz w:val="20"/>
          <w:szCs w:val="20"/>
        </w:rPr>
        <w:t xml:space="preserve">2.4  The other things a business like this needs</w:t>
      </w:r>
    </w:p>
    <w:p>
      <w:pPr>
        <w:spacing w:after="60" w:before="200"/>
      </w:pPr>
      <w:r>
        <w:rPr>
          <w:b/>
          <w:bCs/>
          <w:color w:val="1a1a1a"/>
          <w:sz w:val="22"/>
          <w:szCs w:val="22"/>
        </w:rPr>
        <w:t xml:space="preserve">Part 3 — The app stores</w:t>
      </w:r>
    </w:p>
    <w:p>
      <w:pPr>
        <w:spacing w:after="40"/>
        <w:ind w:left="360"/>
      </w:pPr>
      <w:r>
        <w:rPr>
          <w:color w:val="6b7280"/>
          <w:sz w:val="20"/>
          <w:szCs w:val="20"/>
        </w:rPr>
        <w:t xml:space="preserve">3.1  What you actually have today</w:t>
      </w:r>
    </w:p>
    <w:p>
      <w:pPr>
        <w:spacing w:after="40"/>
        <w:ind w:left="360"/>
      </w:pPr>
      <w:r>
        <w:rPr>
          <w:color w:val="6b7280"/>
          <w:sz w:val="20"/>
          <w:szCs w:val="20"/>
        </w:rPr>
        <w:t xml:space="preserve">3.2  Three routes to being in a store</w:t>
      </w:r>
    </w:p>
    <w:p>
      <w:pPr>
        <w:spacing w:after="40"/>
        <w:ind w:left="360"/>
      </w:pPr>
      <w:r>
        <w:rPr>
          <w:color w:val="6b7280"/>
          <w:sz w:val="20"/>
          <w:szCs w:val="20"/>
        </w:rPr>
        <w:t xml:space="preserve">3.3  Google Play, step by step</w:t>
      </w:r>
    </w:p>
    <w:p>
      <w:pPr>
        <w:spacing w:after="40"/>
        <w:ind w:left="360"/>
      </w:pPr>
      <w:r>
        <w:rPr>
          <w:color w:val="6b7280"/>
          <w:sz w:val="20"/>
          <w:szCs w:val="20"/>
        </w:rPr>
        <w:t xml:space="preserve">3.4  The Apple App Store, step by step</w:t>
      </w:r>
    </w:p>
    <w:p>
      <w:pPr>
        <w:spacing w:after="40"/>
        <w:ind w:left="360"/>
      </w:pPr>
      <w:r>
        <w:rPr>
          <w:color w:val="6b7280"/>
          <w:sz w:val="20"/>
          <w:szCs w:val="20"/>
        </w:rPr>
        <w:t xml:space="preserve">3.5  The rule that changes the business: in-app purchase</w:t>
      </w:r>
    </w:p>
    <w:p>
      <w:pPr>
        <w:spacing w:after="40"/>
        <w:ind w:left="360"/>
      </w:pPr>
      <w:r>
        <w:rPr>
          <w:color w:val="6b7280"/>
          <w:sz w:val="20"/>
          <w:szCs w:val="20"/>
        </w:rPr>
        <w:t xml:space="preserve">3.6  What both stores will ask about AI content</w:t>
      </w:r>
    </w:p>
    <w:p>
      <w:pPr>
        <w:spacing w:after="60" w:before="200"/>
      </w:pPr>
      <w:r>
        <w:rPr>
          <w:b/>
          <w:bCs/>
          <w:color w:val="1a1a1a"/>
          <w:sz w:val="22"/>
          <w:szCs w:val="22"/>
        </w:rPr>
        <w:t xml:space="preserve">Part 4 — What it costs</w:t>
      </w:r>
    </w:p>
    <w:p>
      <w:pPr>
        <w:spacing w:after="40"/>
        <w:ind w:left="360"/>
      </w:pPr>
      <w:r>
        <w:rPr>
          <w:color w:val="6b7280"/>
          <w:sz w:val="20"/>
          <w:szCs w:val="20"/>
        </w:rPr>
        <w:t xml:space="preserve">One-off, to be legal and trading</w:t>
      </w:r>
    </w:p>
    <w:p>
      <w:pPr>
        <w:spacing w:after="40"/>
        <w:ind w:left="360"/>
      </w:pPr>
      <w:r>
        <w:rPr>
          <w:color w:val="6b7280"/>
          <w:sz w:val="20"/>
          <w:szCs w:val="20"/>
        </w:rPr>
        <w:t xml:space="preserve">One-off, to reach the stores</w:t>
      </w:r>
    </w:p>
    <w:p>
      <w:pPr>
        <w:spacing w:after="40"/>
        <w:ind w:left="360"/>
      </w:pPr>
      <w:r>
        <w:rPr>
          <w:color w:val="6b7280"/>
          <w:sz w:val="20"/>
          <w:szCs w:val="20"/>
        </w:rPr>
        <w:t xml:space="preserve">Every month, once trading</w:t>
      </w:r>
    </w:p>
    <w:p>
      <w:pPr>
        <w:spacing w:after="40"/>
        <w:ind w:left="360"/>
      </w:pPr>
      <w:r>
        <w:rPr>
          <w:color w:val="6b7280"/>
          <w:sz w:val="20"/>
          <w:szCs w:val="20"/>
        </w:rPr>
        <w:t xml:space="preserve">Annually</w:t>
      </w:r>
    </w:p>
    <w:p>
      <w:pPr>
        <w:spacing w:after="60" w:before="200"/>
      </w:pPr>
      <w:r>
        <w:rPr>
          <w:b/>
          <w:bCs/>
          <w:color w:val="1a1a1a"/>
          <w:sz w:val="22"/>
          <w:szCs w:val="22"/>
        </w:rPr>
        <w:t xml:space="preserve">Part 5 — The order to do it in</w:t>
      </w:r>
    </w:p>
    <w:p>
      <w:pPr>
        <w:spacing w:after="40"/>
        <w:ind w:left="360"/>
      </w:pPr>
      <w:r>
        <w:rPr>
          <w:color w:val="6b7280"/>
          <w:sz w:val="20"/>
          <w:szCs w:val="20"/>
        </w:rPr>
        <w:t xml:space="preserve">Start now, because they wait on somebody else</w:t>
      </w:r>
    </w:p>
    <w:p>
      <w:pPr>
        <w:spacing w:after="40"/>
        <w:ind w:left="360"/>
      </w:pPr>
      <w:r>
        <w:rPr>
          <w:color w:val="6b7280"/>
          <w:sz w:val="20"/>
          <w:szCs w:val="20"/>
        </w:rPr>
        <w:t xml:space="preserve">Then, in order</w:t>
      </w:r>
    </w:p>
    <w:p>
      <w:pPr>
        <w:spacing w:after="40"/>
        <w:ind w:left="360"/>
      </w:pPr>
      <w:r>
        <w:rPr>
          <w:color w:val="6b7280"/>
          <w:sz w:val="20"/>
          <w:szCs w:val="20"/>
        </w:rPr>
        <w:t xml:space="preserve">Only then, the stores</w:t>
      </w:r>
    </w:p>
    <w:p>
      <w:pPr>
        <w:pStyle w:val="Heading1"/>
        <w:pageBreakBefore/>
        <w:spacing w:after="180" w:before="360"/>
      </w:pPr>
      <w:r>
        <w:rPr>
          <w:b/>
          <w:bCs/>
          <w:color w:val="1a1a1a"/>
          <w:sz w:val="32"/>
          <w:szCs w:val="32"/>
        </w:rPr>
        <w:t xml:space="preserve">The short version</w:t>
      </w:r>
    </w:p>
    <w:p>
      <w:pPr>
        <w:spacing w:after="140" w:line="276"/>
      </w:pPr>
      <w:r>
        <w:rPr>
          <w:color w:val="1a1a1a"/>
          <w:sz w:val="21"/>
          <w:szCs w:val="21"/>
        </w:rPr>
        <w:t xml:space="preserve">If you read nothing else, these are the five things that decide the most.</w:t>
      </w:r>
    </w:p>
    <w:p>
      <w:pPr>
        <w:pStyle w:val="ListParagraph"/>
        <w:numPr>
          <w:ilvl w:val="0"/>
          <w:numId w:val="2"/>
        </w:numPr>
        <w:spacing w:after="100" w:line="276"/>
      </w:pPr>
      <w:r>
        <w:rPr>
          <w:b/>
          <w:bCs/>
          <w:color w:val="1a1a1a"/>
          <w:sz w:val="21"/>
          <w:szCs w:val="21"/>
        </w:rPr>
        <w:t xml:space="preserve">Register a private company (Pty) Ltd, not a sole proprietorship. </w:t>
      </w:r>
      <w:r>
        <w:rPr>
          <w:color w:val="1a1a1a"/>
          <w:sz w:val="21"/>
          <w:szCs w:val="21"/>
        </w:rPr>
        <w:t xml:space="preserve">Paystack wants a registered business with a matching bank account before it will give you live keys, and Apple publishes the seller’s name publicly — as a sole trader that is your own name and address on every listing.</w:t>
      </w:r>
    </w:p>
    <w:p>
      <w:pPr>
        <w:pStyle w:val="ListParagraph"/>
        <w:numPr>
          <w:ilvl w:val="0"/>
          <w:numId w:val="2"/>
        </w:numPr>
        <w:spacing w:after="100" w:line="276"/>
      </w:pPr>
      <w:r>
        <w:rPr>
          <w:b/>
          <w:bCs/>
          <w:color w:val="1a1a1a"/>
          <w:sz w:val="21"/>
          <w:szCs w:val="21"/>
        </w:rPr>
        <w:t xml:space="preserve">You do not have an app to submit yet. </w:t>
      </w:r>
      <w:r>
        <w:rPr>
          <w:color w:val="1a1a1a"/>
          <w:sz w:val="21"/>
          <w:szCs w:val="21"/>
        </w:rPr>
        <w:t xml:space="preserve">FutureBox is a website that can be added to a home screen. Google Play will take a wrapped website; Apple will not. That is a build decision worth making before you pay anyone.</w:t>
      </w:r>
    </w:p>
    <w:p>
      <w:pPr>
        <w:pStyle w:val="ListParagraph"/>
        <w:numPr>
          <w:ilvl w:val="0"/>
          <w:numId w:val="2"/>
        </w:numPr>
        <w:spacing w:after="100" w:line="276"/>
      </w:pPr>
      <w:r>
        <w:rPr>
          <w:b/>
          <w:bCs/>
          <w:color w:val="1a1a1a"/>
          <w:sz w:val="21"/>
          <w:szCs w:val="21"/>
        </w:rPr>
        <w:t xml:space="preserve">Apple will take 15–30% of every subscription sold inside an iPhone app, and you may not use Paystack for it. </w:t>
      </w:r>
      <w:r>
        <w:rPr>
          <w:color w:val="1a1a1a"/>
          <w:sz w:val="21"/>
          <w:szCs w:val="21"/>
        </w:rPr>
        <w:t xml:space="preserve">This is the single largest commercial consequence of being in the App Store and it is not negotiable. It does not apply to people who subscribe on your website.</w:t>
      </w:r>
    </w:p>
    <w:p>
      <w:pPr>
        <w:pStyle w:val="ListParagraph"/>
        <w:numPr>
          <w:ilvl w:val="0"/>
          <w:numId w:val="2"/>
        </w:numPr>
        <w:spacing w:after="100" w:line="276"/>
      </w:pPr>
      <w:r>
        <w:rPr>
          <w:b/>
          <w:bCs/>
          <w:color w:val="1a1a1a"/>
          <w:sz w:val="21"/>
          <w:szCs w:val="21"/>
        </w:rPr>
        <w:t xml:space="preserve">Apple now requires “Sign in with Apple” because you offer Google and Facebook. </w:t>
      </w:r>
      <w:r>
        <w:rPr>
          <w:color w:val="1a1a1a"/>
          <w:sz w:val="21"/>
          <w:szCs w:val="21"/>
        </w:rPr>
        <w:t xml:space="preserve">That was added to the app this week. If an iPhone app ships, Apple’s sign-in has to be there too, or it is rejected.</w:t>
      </w:r>
    </w:p>
    <w:p>
      <w:pPr>
        <w:pStyle w:val="ListParagraph"/>
        <w:numPr>
          <w:ilvl w:val="0"/>
          <w:numId w:val="2"/>
        </w:numPr>
        <w:spacing w:after="100" w:line="276"/>
      </w:pPr>
      <w:r>
        <w:rPr>
          <w:b/>
          <w:bCs/>
          <w:color w:val="1a1a1a"/>
          <w:sz w:val="21"/>
          <w:szCs w:val="21"/>
        </w:rPr>
        <w:t xml:space="preserve">Register an Information Officer with the Information Regulator. </w:t>
      </w:r>
      <w:r>
        <w:rPr>
          <w:color w:val="1a1a1a"/>
          <w:sz w:val="21"/>
          <w:szCs w:val="21"/>
        </w:rPr>
        <w:t xml:space="preserve">It is free, it is online, it takes an afternoon, and not doing it is the most common POPIA failure among small South African companies.</w:t>
      </w:r>
    </w:p>
    <w:p>
      <w:pPr>
        <w:pStyle w:val="Heading1"/>
        <w:pageBreakBefore/>
        <w:spacing w:after="180" w:before="360"/>
      </w:pPr>
      <w:r>
        <w:rPr>
          <w:b/>
          <w:bCs/>
          <w:color w:val="1a1a1a"/>
          <w:sz w:val="32"/>
          <w:szCs w:val="32"/>
        </w:rPr>
        <w:t xml:space="preserve">Part 1 — The company</w:t>
      </w:r>
    </w:p>
    <w:p>
      <w:pPr>
        <w:pStyle w:val="Heading2"/>
        <w:spacing w:after="140" w:before="280"/>
      </w:pPr>
      <w:r>
        <w:rPr>
          <w:b/>
          <w:bCs/>
          <w:color w:val="1a1a1a"/>
          <w:sz w:val="25"/>
          <w:szCs w:val="25"/>
        </w:rPr>
        <w:t xml:space="preserve">1.1  Which kind of business to register</w:t>
      </w:r>
    </w:p>
    <w:p>
      <w:pPr>
        <w:spacing w:after="140" w:line="276"/>
      </w:pPr>
      <w:r>
        <w:rPr>
          <w:color w:val="1a1a1a"/>
          <w:sz w:val="21"/>
          <w:szCs w:val="21"/>
        </w:rPr>
        <w:t xml:space="preserve">There are four realistic options in South Africa. Only one of them fits what FutureBox is about to do.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1700"/>
        <w:gridCol w:w="4000"/>
        <w:gridCol w:w="3326"/>
      </w:tblGrid>
      <w:tr>
        <w:trPr>
          <w:cantSplit/>
          <w:tblHeader/>
        </w:trPr>
        <w:tc>
          <w:tcPr>
            <w:tcW w:type="dxa" w:w="1700"/>
            <w:shd w:fill="f3f4f6" w:color="auto" w:val="clear"/>
            <w:tcMar>
              <w:top w:type="dxa" w:w="90"/>
              <w:left w:type="dxa" w:w="120"/>
              <w:bottom w:type="dxa" w:w="90"/>
              <w:right w:type="dxa" w:w="120"/>
            </w:tcMar>
          </w:tcPr>
          <w:p>
            <w:pPr>
              <w:spacing w:after="0" w:line="260"/>
            </w:pPr>
            <w:r>
              <w:rPr>
                <w:b/>
                <w:bCs/>
                <w:color w:val="1a1a1a"/>
                <w:sz w:val="19"/>
                <w:szCs w:val="19"/>
              </w:rPr>
              <w:t xml:space="preserve">Form</w:t>
            </w:r>
          </w:p>
        </w:tc>
        <w:tc>
          <w:tcPr>
            <w:tcW w:type="dxa" w:w="4000"/>
            <w:shd w:fill="f3f4f6" w:color="auto" w:val="clear"/>
            <w:tcMar>
              <w:top w:type="dxa" w:w="90"/>
              <w:left w:type="dxa" w:w="120"/>
              <w:bottom w:type="dxa" w:w="90"/>
              <w:right w:type="dxa" w:w="120"/>
            </w:tcMar>
          </w:tcPr>
          <w:p>
            <w:pPr>
              <w:spacing w:after="0" w:line="260"/>
            </w:pPr>
            <w:r>
              <w:rPr>
                <w:b/>
                <w:bCs/>
                <w:color w:val="1a1a1a"/>
                <w:sz w:val="19"/>
                <w:szCs w:val="19"/>
              </w:rPr>
              <w:t xml:space="preserve">What it means</w:t>
            </w:r>
          </w:p>
        </w:tc>
        <w:tc>
          <w:tcPr>
            <w:tcW w:type="dxa" w:w="3326"/>
            <w:shd w:fill="f3f4f6" w:color="auto" w:val="clear"/>
            <w:tcMar>
              <w:top w:type="dxa" w:w="90"/>
              <w:left w:type="dxa" w:w="120"/>
              <w:bottom w:type="dxa" w:w="90"/>
              <w:right w:type="dxa" w:w="120"/>
            </w:tcMar>
          </w:tcPr>
          <w:p>
            <w:pPr>
              <w:spacing w:after="0" w:line="260"/>
            </w:pPr>
            <w:r>
              <w:rPr>
                <w:b/>
                <w:bCs/>
                <w:color w:val="1a1a1a"/>
                <w:sz w:val="19"/>
                <w:szCs w:val="19"/>
              </w:rPr>
              <w:t xml:space="preserve">Fits FutureBox?</w:t>
            </w:r>
          </w:p>
        </w:tc>
      </w:tr>
      <w:tr>
        <w:trPr>
          <w:cantSplit/>
        </w:trPr>
        <w:tc>
          <w:tcPr>
            <w:tcW w:type="dxa" w:w="1700"/>
            <w:shd w:fill="ffffff" w:color="auto" w:val="clear"/>
            <w:tcMar>
              <w:top w:type="dxa" w:w="90"/>
              <w:left w:type="dxa" w:w="120"/>
              <w:bottom w:type="dxa" w:w="90"/>
              <w:right w:type="dxa" w:w="120"/>
            </w:tcMar>
          </w:tcPr>
          <w:p>
            <w:pPr>
              <w:spacing w:after="0" w:line="260"/>
            </w:pPr>
            <w:r>
              <w:rPr>
                <w:color w:val="1a1a1a"/>
                <w:sz w:val="19"/>
                <w:szCs w:val="19"/>
              </w:rPr>
              <w:t xml:space="preserve">Sole proprietor</w:t>
            </w:r>
          </w:p>
        </w:tc>
        <w:tc>
          <w:tcPr>
            <w:tcW w:type="dxa" w:w="4000"/>
            <w:shd w:fill="ffffff" w:color="auto" w:val="clear"/>
            <w:tcMar>
              <w:top w:type="dxa" w:w="90"/>
              <w:left w:type="dxa" w:w="120"/>
              <w:bottom w:type="dxa" w:w="90"/>
              <w:right w:type="dxa" w:w="120"/>
            </w:tcMar>
          </w:tcPr>
          <w:p>
            <w:pPr>
              <w:spacing w:after="0" w:line="260"/>
            </w:pPr>
            <w:r>
              <w:rPr>
                <w:color w:val="1a1a1a"/>
                <w:sz w:val="19"/>
                <w:szCs w:val="19"/>
              </w:rPr>
              <w:t xml:space="preserve">No registration. You and the business are the same legal person. Your personal assets answer for its debts.</w:t>
            </w:r>
          </w:p>
        </w:tc>
        <w:tc>
          <w:tcPr>
            <w:tcW w:type="dxa" w:w="3326"/>
            <w:shd w:fill="ffffff" w:color="auto" w:val="clear"/>
            <w:tcMar>
              <w:top w:type="dxa" w:w="90"/>
              <w:left w:type="dxa" w:w="120"/>
              <w:bottom w:type="dxa" w:w="90"/>
              <w:right w:type="dxa" w:w="120"/>
            </w:tcMar>
          </w:tcPr>
          <w:p>
            <w:pPr>
              <w:spacing w:after="0" w:line="260"/>
            </w:pPr>
            <w:r>
              <w:rPr>
                <w:color w:val="1a1a1a"/>
                <w:sz w:val="19"/>
                <w:szCs w:val="19"/>
              </w:rPr>
              <w:t xml:space="preserve">No. Paystack, Apple and Google all want an entity, and Apple publishes your personal name and address as the seller.</w:t>
            </w:r>
          </w:p>
        </w:tc>
      </w:tr>
      <w:tr>
        <w:trPr>
          <w:cantSplit/>
        </w:trPr>
        <w:tc>
          <w:tcPr>
            <w:tcW w:type="dxa" w:w="1700"/>
            <w:shd w:fill="ffffff" w:color="auto" w:val="clear"/>
            <w:tcMar>
              <w:top w:type="dxa" w:w="90"/>
              <w:left w:type="dxa" w:w="120"/>
              <w:bottom w:type="dxa" w:w="90"/>
              <w:right w:type="dxa" w:w="120"/>
            </w:tcMar>
          </w:tcPr>
          <w:p>
            <w:pPr>
              <w:spacing w:after="0" w:line="260"/>
            </w:pPr>
            <w:r>
              <w:rPr>
                <w:color w:val="1a1a1a"/>
                <w:sz w:val="19"/>
                <w:szCs w:val="19"/>
              </w:rPr>
              <w:t xml:space="preserve">Partnership</w:t>
            </w:r>
          </w:p>
        </w:tc>
        <w:tc>
          <w:tcPr>
            <w:tcW w:type="dxa" w:w="4000"/>
            <w:shd w:fill="ffffff" w:color="auto" w:val="clear"/>
            <w:tcMar>
              <w:top w:type="dxa" w:w="90"/>
              <w:left w:type="dxa" w:w="120"/>
              <w:bottom w:type="dxa" w:w="90"/>
              <w:right w:type="dxa" w:w="120"/>
            </w:tcMar>
          </w:tcPr>
          <w:p>
            <w:pPr>
              <w:spacing w:after="0" w:line="260"/>
            </w:pPr>
            <w:r>
              <w:rPr>
                <w:color w:val="1a1a1a"/>
                <w:sz w:val="19"/>
                <w:szCs w:val="19"/>
              </w:rPr>
              <w:t xml:space="preserve">Two or more people, no separate legal person, each liable for the whole.</w:t>
            </w:r>
          </w:p>
        </w:tc>
        <w:tc>
          <w:tcPr>
            <w:tcW w:type="dxa" w:w="3326"/>
            <w:shd w:fill="ffffff" w:color="auto" w:val="clear"/>
            <w:tcMar>
              <w:top w:type="dxa" w:w="90"/>
              <w:left w:type="dxa" w:w="120"/>
              <w:bottom w:type="dxa" w:w="90"/>
              <w:right w:type="dxa" w:w="120"/>
            </w:tcMar>
          </w:tcPr>
          <w:p>
            <w:pPr>
              <w:spacing w:after="0" w:line="260"/>
            </w:pPr>
            <w:r>
              <w:rPr>
                <w:color w:val="1a1a1a"/>
                <w:sz w:val="19"/>
                <w:szCs w:val="19"/>
              </w:rPr>
              <w:t xml:space="preserve">No, and worse than a sole proprietorship if anything goes wrong between you.</w:t>
            </w:r>
          </w:p>
        </w:tc>
      </w:tr>
      <w:tr>
        <w:trPr>
          <w:cantSplit/>
        </w:trPr>
        <w:tc>
          <w:tcPr>
            <w:tcW w:type="dxa" w:w="1700"/>
            <w:shd w:fill="ffffff" w:color="auto" w:val="clear"/>
            <w:tcMar>
              <w:top w:type="dxa" w:w="90"/>
              <w:left w:type="dxa" w:w="120"/>
              <w:bottom w:type="dxa" w:w="90"/>
              <w:right w:type="dxa" w:w="120"/>
            </w:tcMar>
          </w:tcPr>
          <w:p>
            <w:pPr>
              <w:spacing w:after="0" w:line="260"/>
            </w:pPr>
            <w:r>
              <w:rPr>
                <w:color w:val="1a1a1a"/>
                <w:sz w:val="19"/>
                <w:szCs w:val="19"/>
              </w:rPr>
              <w:t xml:space="preserve">Private company</w:t>
            </w:r>
          </w:p>
          <w:p>
            <w:pPr>
              <w:spacing w:after="0" w:line="260"/>
            </w:pPr>
            <w:r>
              <w:rPr>
                <w:color w:val="1a1a1a"/>
                <w:sz w:val="19"/>
                <w:szCs w:val="19"/>
              </w:rPr>
              <w:t xml:space="preserve">(Pty) Ltd</w:t>
            </w:r>
          </w:p>
        </w:tc>
        <w:tc>
          <w:tcPr>
            <w:tcW w:type="dxa" w:w="4000"/>
            <w:shd w:fill="ffffff" w:color="auto" w:val="clear"/>
            <w:tcMar>
              <w:top w:type="dxa" w:w="90"/>
              <w:left w:type="dxa" w:w="120"/>
              <w:bottom w:type="dxa" w:w="90"/>
              <w:right w:type="dxa" w:w="120"/>
            </w:tcMar>
          </w:tcPr>
          <w:p>
            <w:pPr>
              <w:spacing w:after="0" w:line="260"/>
            </w:pPr>
            <w:r>
              <w:rPr>
                <w:color w:val="1a1a1a"/>
                <w:sz w:val="19"/>
                <w:szCs w:val="19"/>
              </w:rPr>
              <w:t xml:space="preserve">A separate legal person. Limited liability. A registration number, a bank account and a tax number of its own.</w:t>
            </w:r>
          </w:p>
        </w:tc>
        <w:tc>
          <w:tcPr>
            <w:tcW w:type="dxa" w:w="3326"/>
            <w:shd w:fill="ffffff" w:color="auto" w:val="clear"/>
            <w:tcMar>
              <w:top w:type="dxa" w:w="90"/>
              <w:left w:type="dxa" w:w="120"/>
              <w:bottom w:type="dxa" w:w="90"/>
              <w:right w:type="dxa" w:w="120"/>
            </w:tcMar>
          </w:tcPr>
          <w:p>
            <w:pPr>
              <w:spacing w:after="0" w:line="260"/>
            </w:pPr>
            <w:r>
              <w:rPr>
                <w:color w:val="1a1a1a"/>
                <w:sz w:val="19"/>
                <w:szCs w:val="19"/>
              </w:rPr>
              <w:t xml:space="preserve">Yes. This is the one.</w:t>
            </w:r>
          </w:p>
        </w:tc>
      </w:tr>
      <w:tr>
        <w:trPr>
          <w:cantSplit/>
        </w:trPr>
        <w:tc>
          <w:tcPr>
            <w:tcW w:type="dxa" w:w="1700"/>
            <w:shd w:fill="ffffff" w:color="auto" w:val="clear"/>
            <w:tcMar>
              <w:top w:type="dxa" w:w="90"/>
              <w:left w:type="dxa" w:w="120"/>
              <w:bottom w:type="dxa" w:w="90"/>
              <w:right w:type="dxa" w:w="120"/>
            </w:tcMar>
          </w:tcPr>
          <w:p>
            <w:pPr>
              <w:spacing w:after="0" w:line="260"/>
            </w:pPr>
            <w:r>
              <w:rPr>
                <w:color w:val="1a1a1a"/>
                <w:sz w:val="19"/>
                <w:szCs w:val="19"/>
              </w:rPr>
              <w:t xml:space="preserve">Non-profit / co-op</w:t>
            </w:r>
          </w:p>
        </w:tc>
        <w:tc>
          <w:tcPr>
            <w:tcW w:type="dxa" w:w="4000"/>
            <w:shd w:fill="ffffff" w:color="auto" w:val="clear"/>
            <w:tcMar>
              <w:top w:type="dxa" w:w="90"/>
              <w:left w:type="dxa" w:w="120"/>
              <w:bottom w:type="dxa" w:w="90"/>
              <w:right w:type="dxa" w:w="120"/>
            </w:tcMar>
          </w:tcPr>
          <w:p>
            <w:pPr>
              <w:spacing w:after="0" w:line="260"/>
            </w:pPr>
            <w:r>
              <w:rPr>
                <w:color w:val="1a1a1a"/>
                <w:sz w:val="19"/>
                <w:szCs w:val="19"/>
              </w:rPr>
              <w:t xml:space="preserve">For a public-benefit purpose, with the constraints that go with it.</w:t>
            </w:r>
          </w:p>
        </w:tc>
        <w:tc>
          <w:tcPr>
            <w:tcW w:type="dxa" w:w="3326"/>
            <w:shd w:fill="ffffff" w:color="auto" w:val="clear"/>
            <w:tcMar>
              <w:top w:type="dxa" w:w="90"/>
              <w:left w:type="dxa" w:w="120"/>
              <w:bottom w:type="dxa" w:w="90"/>
              <w:right w:type="dxa" w:w="120"/>
            </w:tcMar>
          </w:tcPr>
          <w:p>
            <w:pPr>
              <w:spacing w:after="0" w:line="260"/>
            </w:pPr>
            <w:r>
              <w:rPr>
                <w:color w:val="1a1a1a"/>
                <w:sz w:val="19"/>
                <w:szCs w:val="19"/>
              </w:rPr>
              <w:t xml:space="preserve">No.</w:t>
            </w:r>
          </w:p>
        </w:tc>
      </w:tr>
    </w:tbl>
    <w:p>
      <w:pPr>
        <w:spacing w:after="140" w:line="276"/>
      </w:pPr>
      <w:r>
        <w:rPr>
          <w:color w:val="1a1a1a"/>
          <w:sz w:val="21"/>
          <w:szCs w:val="21"/>
        </w:rPr>
        <w:t xml:space="preserve"/>
      </w:r>
    </w:p>
    <w:p>
      <w:pPr>
        <w:pStyle w:val="Heading3"/>
        <w:spacing w:after="100" w:before="220"/>
      </w:pPr>
      <w:r>
        <w:rPr>
          <w:b/>
          <w:bCs/>
          <w:color w:val="047857"/>
          <w:sz w:val="22"/>
          <w:szCs w:val="22"/>
        </w:rPr>
        <w:t xml:space="preserve">Why a (Pty) Ltd specifically</w:t>
      </w:r>
    </w:p>
    <w:p>
      <w:pPr>
        <w:pStyle w:val="ListParagraph"/>
        <w:numPr>
          <w:ilvl w:val="0"/>
          <w:numId w:val="3"/>
        </w:numPr>
        <w:spacing w:after="90" w:line="276"/>
      </w:pPr>
      <w:r>
        <w:rPr>
          <w:b/>
          <w:bCs/>
          <w:color w:val="1a1a1a"/>
          <w:sz w:val="21"/>
          <w:szCs w:val="21"/>
        </w:rPr>
        <w:t xml:space="preserve">Limited liability. </w:t>
      </w:r>
      <w:r>
        <w:rPr>
          <w:color w:val="1a1a1a"/>
          <w:sz w:val="21"/>
          <w:szCs w:val="21"/>
        </w:rPr>
        <w:t xml:space="preserve">If a customer, a supplier or a rights-holder comes after the business, they come after the business. As a sole trader they come after your house.</w:t>
      </w:r>
    </w:p>
    <w:p>
      <w:pPr>
        <w:pStyle w:val="ListParagraph"/>
        <w:numPr>
          <w:ilvl w:val="0"/>
          <w:numId w:val="3"/>
        </w:numPr>
        <w:spacing w:after="90" w:line="276"/>
      </w:pPr>
      <w:r>
        <w:rPr>
          <w:b/>
          <w:bCs/>
          <w:color w:val="1a1a1a"/>
          <w:sz w:val="21"/>
          <w:szCs w:val="21"/>
        </w:rPr>
        <w:t xml:space="preserve">Paystack will ask for it. </w:t>
      </w:r>
      <w:r>
        <w:rPr>
          <w:color w:val="1a1a1a"/>
          <w:sz w:val="21"/>
          <w:szCs w:val="21"/>
        </w:rPr>
        <w:t xml:space="preserve">Live keys need a registered business and a bank account in the same name. Test keys work without either, which is why this is easy to leave too late.</w:t>
      </w:r>
    </w:p>
    <w:p>
      <w:pPr>
        <w:pStyle w:val="ListParagraph"/>
        <w:numPr>
          <w:ilvl w:val="0"/>
          <w:numId w:val="3"/>
        </w:numPr>
        <w:spacing w:after="90" w:line="276"/>
      </w:pPr>
      <w:r>
        <w:rPr>
          <w:b/>
          <w:bCs/>
          <w:color w:val="1a1a1a"/>
          <w:sz w:val="21"/>
          <w:szCs w:val="21"/>
        </w:rPr>
        <w:t xml:space="preserve">Apple and Google both distinguish an individual from an organisation. </w:t>
      </w:r>
      <w:r>
        <w:rPr>
          <w:color w:val="1a1a1a"/>
          <w:sz w:val="21"/>
          <w:szCs w:val="21"/>
        </w:rPr>
        <w:t xml:space="preserve">An organisation account needs a legal entity and a D-U-N-S number, and it keeps your personal name off the store listing. An individual account puts your own name there.</w:t>
      </w:r>
    </w:p>
    <w:p>
      <w:pPr>
        <w:pStyle w:val="ListParagraph"/>
        <w:numPr>
          <w:ilvl w:val="0"/>
          <w:numId w:val="3"/>
        </w:numPr>
        <w:spacing w:after="90" w:line="276"/>
      </w:pPr>
      <w:r>
        <w:rPr>
          <w:b/>
          <w:bCs/>
          <w:color w:val="1a1a1a"/>
          <w:sz w:val="21"/>
          <w:szCs w:val="21"/>
        </w:rPr>
        <w:t xml:space="preserve">AI vendors bill a company. </w:t>
      </w:r>
      <w:r>
        <w:rPr>
          <w:color w:val="1a1a1a"/>
          <w:sz w:val="21"/>
          <w:szCs w:val="21"/>
        </w:rPr>
        <w:t xml:space="preserve">ElevenLabs, Anthropic and the video engines on a personal card is how a business ends up unable to prove its own costs at tax time.</w:t>
      </w:r>
    </w:p>
    <w:tbl>
      <w:tblPr>
        <w:tblW w:type="dxa" w:w="9026"/>
        <w:tblBorders>
          <w:top w:val="single" w:color="d97706" w:sz="2"/>
          <w:left w:val="single" w:color="d97706" w:sz="12"/>
          <w:bottom w:val="single" w:color="d97706" w:sz="2"/>
          <w:right w:val="single" w:color="d97706" w:sz="2"/>
          <w:insideH w:val="none" w:color="auto" w:sz="0"/>
          <w:insideV w:val="none" w:color="auto" w:sz="0"/>
        </w:tblBorders>
      </w:tblPr>
      <w:tblGrid>
        <w:gridCol w:w="9026"/>
      </w:tblGrid>
      <w:tr>
        <w:trPr>
          <w:cantSplit/>
        </w:trPr>
        <w:tc>
          <w:tcPr>
            <w:tcW w:type="dxa" w:w="9026"/>
            <w:shd w:fill="fef3c7" w:color="auto" w:val="clear"/>
            <w:tcMar>
              <w:top w:type="dxa" w:w="160"/>
              <w:left w:type="dxa" w:w="200"/>
              <w:bottom w:type="dxa" w:w="160"/>
              <w:right w:type="dxa" w:w="200"/>
            </w:tcMar>
          </w:tcPr>
          <w:p>
            <w:pPr>
              <w:spacing w:after="80"/>
            </w:pPr>
            <w:r>
              <w:rPr>
                <w:b/>
                <w:bCs/>
                <w:color w:val="d97706"/>
                <w:sz w:val="21"/>
                <w:szCs w:val="21"/>
              </w:rPr>
              <w:t xml:space="preserve">One honest downside</w:t>
            </w:r>
          </w:p>
          <w:p>
            <w:pPr>
              <w:spacing w:after="60" w:line="276"/>
            </w:pPr>
            <w:r>
              <w:rPr>
                <w:color w:val="1a1a1a"/>
                <w:sz w:val="20"/>
                <w:szCs w:val="20"/>
              </w:rPr>
              <w:t xml:space="preserve">A (Pty) Ltd has upkeep a sole proprietorship does not: an annual return to CIPC every year on the anniversary of registration, annual financial statements, and a company tax return whether or not it traded. Miss the annual returns for long enough and CIPC deregisters the company — which happens to a great many dormant companies and is tedious to reverse.</w:t>
            </w:r>
          </w:p>
          <w:p>
            <w:pPr>
              <w:spacing w:after="60" w:line="276"/>
            </w:pPr>
            <w:r>
              <w:rPr>
                <w:color w:val="1a1a1a"/>
                <w:sz w:val="20"/>
                <w:szCs w:val="20"/>
              </w:rPr>
              <w:t xml:space="preserve">Budget for a bookkeeper or an accounting package from the start. It is a few hundred rand a month and it is cheaper than the first year you try to reconstruct.</w:t>
            </w:r>
          </w:p>
        </w:tc>
      </w:tr>
    </w:tbl>
    <w:p>
      <w:pPr>
        <w:pStyle w:val="Heading2"/>
        <w:spacing w:after="140" w:before="280"/>
      </w:pPr>
      <w:r>
        <w:rPr>
          <w:b/>
          <w:bCs/>
          <w:color w:val="1a1a1a"/>
          <w:sz w:val="25"/>
          <w:szCs w:val="25"/>
        </w:rPr>
        <w:t xml:space="preserve">1.2  Registering the company</w:t>
      </w:r>
    </w:p>
    <w:p>
      <w:pPr>
        <w:spacing w:after="140" w:line="276"/>
      </w:pPr>
      <w:r>
        <w:rPr>
          <w:color w:val="1a1a1a"/>
          <w:sz w:val="21"/>
          <w:szCs w:val="21"/>
        </w:rPr>
        <w:t xml:space="preserve">There are two routes. Use BizPortal unless you need something unusual.</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000"/>
        <w:gridCol w:w="3800"/>
        <w:gridCol w:w="3226"/>
      </w:tblGrid>
      <w:tr>
        <w:trPr>
          <w:cantSplit/>
          <w:tblHeader/>
        </w:trPr>
        <w:tc>
          <w:tcPr>
            <w:tcW w:type="dxa" w:w="2000"/>
            <w:shd w:fill="f3f4f6" w:color="auto" w:val="clear"/>
            <w:tcMar>
              <w:top w:type="dxa" w:w="90"/>
              <w:left w:type="dxa" w:w="120"/>
              <w:bottom w:type="dxa" w:w="90"/>
              <w:right w:type="dxa" w:w="120"/>
            </w:tcMar>
          </w:tcPr>
          <w:p>
            <w:pPr>
              <w:spacing w:after="0" w:line="260"/>
            </w:pPr>
            <w:r>
              <w:rPr>
                <w:b/>
                <w:bCs/>
                <w:color w:val="1a1a1a"/>
                <w:sz w:val="19"/>
                <w:szCs w:val="19"/>
              </w:rPr>
              <w:t xml:space="preserve">Route</w:t>
            </w:r>
          </w:p>
        </w:tc>
        <w:tc>
          <w:tcPr>
            <w:tcW w:type="dxa" w:w="3800"/>
            <w:shd w:fill="f3f4f6" w:color="auto" w:val="clear"/>
            <w:tcMar>
              <w:top w:type="dxa" w:w="90"/>
              <w:left w:type="dxa" w:w="120"/>
              <w:bottom w:type="dxa" w:w="90"/>
              <w:right w:type="dxa" w:w="120"/>
            </w:tcMar>
          </w:tcPr>
          <w:p>
            <w:pPr>
              <w:spacing w:after="0" w:line="260"/>
            </w:pPr>
            <w:r>
              <w:rPr>
                <w:b/>
                <w:bCs/>
                <w:color w:val="1a1a1a"/>
                <w:sz w:val="19"/>
                <w:szCs w:val="19"/>
              </w:rPr>
              <w:t xml:space="preserve">What it is</w:t>
            </w:r>
          </w:p>
        </w:tc>
        <w:tc>
          <w:tcPr>
            <w:tcW w:type="dxa" w:w="3226"/>
            <w:shd w:fill="f3f4f6" w:color="auto" w:val="clear"/>
            <w:tcMar>
              <w:top w:type="dxa" w:w="90"/>
              <w:left w:type="dxa" w:w="120"/>
              <w:bottom w:type="dxa" w:w="90"/>
              <w:right w:type="dxa" w:w="120"/>
            </w:tcMar>
          </w:tcPr>
          <w:p>
            <w:pPr>
              <w:spacing w:after="0" w:line="260"/>
            </w:pPr>
            <w:r>
              <w:rPr>
                <w:b/>
                <w:bCs/>
                <w:color w:val="1a1a1a"/>
                <w:sz w:val="19"/>
                <w:szCs w:val="19"/>
              </w:rPr>
              <w:t xml:space="preserve">Why</w:t>
            </w:r>
          </w:p>
        </w:tc>
      </w:tr>
      <w:tr>
        <w:trPr>
          <w:cantSplit/>
        </w:trPr>
        <w:tc>
          <w:tcPr>
            <w:tcW w:type="dxa" w:w="2000"/>
            <w:shd w:fill="ffffff" w:color="auto" w:val="clear"/>
            <w:tcMar>
              <w:top w:type="dxa" w:w="90"/>
              <w:left w:type="dxa" w:w="120"/>
              <w:bottom w:type="dxa" w:w="90"/>
              <w:right w:type="dxa" w:w="120"/>
            </w:tcMar>
          </w:tcPr>
          <w:p>
            <w:pPr>
              <w:spacing w:after="0" w:line="260"/>
            </w:pPr>
            <w:r>
              <w:rPr>
                <w:color w:val="1a1a1a"/>
                <w:sz w:val="19"/>
                <w:szCs w:val="19"/>
              </w:rPr>
              <w:t xml:space="preserve">bizportal.gov.za</w:t>
            </w:r>
          </w:p>
        </w:tc>
        <w:tc>
          <w:tcPr>
            <w:tcW w:type="dxa" w:w="3800"/>
            <w:shd w:fill="ffffff" w:color="auto" w:val="clear"/>
            <w:tcMar>
              <w:top w:type="dxa" w:w="90"/>
              <w:left w:type="dxa" w:w="120"/>
              <w:bottom w:type="dxa" w:w="90"/>
              <w:right w:type="dxa" w:w="120"/>
            </w:tcMar>
          </w:tcPr>
          <w:p>
            <w:pPr>
              <w:spacing w:after="0" w:line="260"/>
            </w:pPr>
            <w:r>
              <w:rPr>
                <w:color w:val="1a1a1a"/>
                <w:sz w:val="19"/>
                <w:szCs w:val="19"/>
              </w:rPr>
              <w:t xml:space="preserve">Government’s one-window service. Company registration plus the SARS income tax number, UIF, Compensation Fund and a B-BBEE affidavit in one flow.</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Fastest, cheapest, and it hands you several of the things further down this document without a separate application.</w:t>
            </w:r>
          </w:p>
        </w:tc>
      </w:tr>
      <w:tr>
        <w:trPr>
          <w:cantSplit/>
        </w:trPr>
        <w:tc>
          <w:tcPr>
            <w:tcW w:type="dxa" w:w="2000"/>
            <w:shd w:fill="ffffff" w:color="auto" w:val="clear"/>
            <w:tcMar>
              <w:top w:type="dxa" w:w="90"/>
              <w:left w:type="dxa" w:w="120"/>
              <w:bottom w:type="dxa" w:w="90"/>
              <w:right w:type="dxa" w:w="120"/>
            </w:tcMar>
          </w:tcPr>
          <w:p>
            <w:pPr>
              <w:spacing w:after="0" w:line="260"/>
            </w:pPr>
            <w:r>
              <w:rPr>
                <w:color w:val="1a1a1a"/>
                <w:sz w:val="19"/>
                <w:szCs w:val="19"/>
              </w:rPr>
              <w:t xml:space="preserve">CIPC eServices</w:t>
            </w:r>
          </w:p>
        </w:tc>
        <w:tc>
          <w:tcPr>
            <w:tcW w:type="dxa" w:w="3800"/>
            <w:shd w:fill="ffffff" w:color="auto" w:val="clear"/>
            <w:tcMar>
              <w:top w:type="dxa" w:w="90"/>
              <w:left w:type="dxa" w:w="120"/>
              <w:bottom w:type="dxa" w:w="90"/>
              <w:right w:type="dxa" w:w="120"/>
            </w:tcMar>
          </w:tcPr>
          <w:p>
            <w:pPr>
              <w:spacing w:after="0" w:line="260"/>
            </w:pPr>
            <w:r>
              <w:rPr>
                <w:color w:val="1a1a1a"/>
                <w:sz w:val="19"/>
                <w:szCs w:val="19"/>
              </w:rPr>
              <w:t xml:space="preserve">The full CIPC portal.</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Only if you need a custom Memorandum of Incorporation, more than the standard share structure, or a name BizPortal will not take.</w:t>
            </w:r>
          </w:p>
        </w:tc>
      </w:tr>
      <w:tr>
        <w:trPr>
          <w:cantSplit/>
        </w:trPr>
        <w:tc>
          <w:tcPr>
            <w:tcW w:type="dxa" w:w="2000"/>
            <w:shd w:fill="ffffff" w:color="auto" w:val="clear"/>
            <w:tcMar>
              <w:top w:type="dxa" w:w="90"/>
              <w:left w:type="dxa" w:w="120"/>
              <w:bottom w:type="dxa" w:w="90"/>
              <w:right w:type="dxa" w:w="120"/>
            </w:tcMar>
          </w:tcPr>
          <w:p>
            <w:pPr>
              <w:spacing w:after="0" w:line="260"/>
            </w:pPr>
            <w:r>
              <w:rPr>
                <w:color w:val="1a1a1a"/>
                <w:sz w:val="19"/>
                <w:szCs w:val="19"/>
              </w:rPr>
              <w:t xml:space="preserve">An agent or accountant</w:t>
            </w:r>
          </w:p>
        </w:tc>
        <w:tc>
          <w:tcPr>
            <w:tcW w:type="dxa" w:w="3800"/>
            <w:shd w:fill="ffffff" w:color="auto" w:val="clear"/>
            <w:tcMar>
              <w:top w:type="dxa" w:w="90"/>
              <w:left w:type="dxa" w:w="120"/>
              <w:bottom w:type="dxa" w:w="90"/>
              <w:right w:type="dxa" w:w="120"/>
            </w:tcMar>
          </w:tcPr>
          <w:p>
            <w:pPr>
              <w:spacing w:after="0" w:line="260"/>
            </w:pPr>
            <w:r>
              <w:rPr>
                <w:color w:val="1a1a1a"/>
                <w:sz w:val="19"/>
                <w:szCs w:val="19"/>
              </w:rPr>
              <w:t xml:space="preserve">Someone does it for you, typically R500–R1 500 (verify).</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Worth it only if the paperwork genuinely puts you off. The process below is not hard.</w:t>
            </w:r>
          </w:p>
        </w:tc>
      </w:tr>
    </w:tbl>
    <w:p>
      <w:pPr>
        <w:spacing w:after="140" w:line="276"/>
      </w:pPr>
      <w:r>
        <w:rPr>
          <w:color w:val="1a1a1a"/>
          <w:sz w:val="21"/>
          <w:szCs w:val="21"/>
        </w:rPr>
        <w:t xml:space="preserve"/>
      </w:r>
    </w:p>
    <w:p>
      <w:pPr>
        <w:pStyle w:val="Heading3"/>
        <w:spacing w:after="100" w:before="220"/>
      </w:pPr>
      <w:r>
        <w:rPr>
          <w:b/>
          <w:bCs/>
          <w:color w:val="047857"/>
          <w:sz w:val="22"/>
          <w:szCs w:val="22"/>
        </w:rPr>
        <w:t xml:space="preserve">What to have ready before you start</w:t>
      </w:r>
    </w:p>
    <w:p>
      <w:pPr>
        <w:pStyle w:val="ListParagraph"/>
        <w:numPr>
          <w:ilvl w:val="0"/>
          <w:numId w:val="3"/>
        </w:numPr>
        <w:spacing w:after="90" w:line="276"/>
      </w:pPr>
      <w:r>
        <w:rPr>
          <w:color w:val="1a1a1a"/>
          <w:sz w:val="21"/>
          <w:szCs w:val="21"/>
        </w:rPr>
        <w:t xml:space="preserve">A South African ID number for every director, and a certified copy of each ID.</w:t>
      </w:r>
    </w:p>
    <w:p>
      <w:pPr>
        <w:pStyle w:val="ListParagraph"/>
        <w:numPr>
          <w:ilvl w:val="0"/>
          <w:numId w:val="3"/>
        </w:numPr>
        <w:spacing w:after="90" w:line="276"/>
      </w:pPr>
      <w:r>
        <w:rPr>
          <w:color w:val="1a1a1a"/>
          <w:sz w:val="21"/>
          <w:szCs w:val="21"/>
        </w:rPr>
        <w:t xml:space="preserve">A physical address for the registered office, and a postal address.</w:t>
      </w:r>
    </w:p>
    <w:p>
      <w:pPr>
        <w:pStyle w:val="ListParagraph"/>
        <w:numPr>
          <w:ilvl w:val="0"/>
          <w:numId w:val="3"/>
        </w:numPr>
        <w:spacing w:after="90" w:line="276"/>
      </w:pPr>
      <w:r>
        <w:rPr>
          <w:color w:val="1a1a1a"/>
          <w:sz w:val="21"/>
          <w:szCs w:val="21"/>
        </w:rPr>
        <w:t xml:space="preserve">An email address and a cellphone number that you will keep — this is where CIPC sends everything.</w:t>
      </w:r>
    </w:p>
    <w:p>
      <w:pPr>
        <w:pStyle w:val="ListParagraph"/>
        <w:numPr>
          <w:ilvl w:val="0"/>
          <w:numId w:val="3"/>
        </w:numPr>
        <w:spacing w:after="90" w:line="276"/>
      </w:pPr>
      <w:r>
        <w:rPr>
          <w:color w:val="1a1a1a"/>
          <w:sz w:val="21"/>
          <w:szCs w:val="21"/>
        </w:rPr>
        <w:t xml:space="preserve">Four name choices, in order of preference. See §1.5 first: the name is worth deciding properly.</w:t>
      </w:r>
    </w:p>
    <w:p>
      <w:pPr>
        <w:pStyle w:val="ListParagraph"/>
        <w:numPr>
          <w:ilvl w:val="0"/>
          <w:numId w:val="3"/>
        </w:numPr>
        <w:spacing w:after="90" w:line="276"/>
      </w:pPr>
      <w:r>
        <w:rPr>
          <w:color w:val="1a1a1a"/>
          <w:sz w:val="21"/>
          <w:szCs w:val="21"/>
        </w:rPr>
        <w:t xml:space="preserve">The financial year-end you want. February is the common default and it lines up with the personal tax year.</w:t>
      </w:r>
    </w:p>
    <w:p>
      <w:pPr>
        <w:pStyle w:val="Heading3"/>
        <w:spacing w:after="100" w:before="220"/>
      </w:pPr>
      <w:r>
        <w:rPr>
          <w:b/>
          <w:bCs/>
          <w:color w:val="047857"/>
          <w:sz w:val="22"/>
          <w:szCs w:val="22"/>
        </w:rPr>
        <w:t xml:space="preserve">The steps</w:t>
      </w:r>
    </w:p>
    <w:p>
      <w:pPr>
        <w:pStyle w:val="ListParagraph"/>
        <w:numPr>
          <w:ilvl w:val="0"/>
          <w:numId w:val="4"/>
        </w:numPr>
        <w:spacing w:after="100" w:line="276"/>
      </w:pPr>
      <w:r>
        <w:rPr>
          <w:b/>
          <w:bCs/>
          <w:color w:val="1a1a1a"/>
          <w:sz w:val="21"/>
          <w:szCs w:val="21"/>
        </w:rPr>
        <w:t xml:space="preserve">Reserve a name, or skip it. </w:t>
      </w:r>
      <w:r>
        <w:rPr>
          <w:color w:val="1a1a1a"/>
          <w:sz w:val="21"/>
          <w:szCs w:val="21"/>
        </w:rPr>
        <w:t xml:space="preserve">You may register a company with only its registration number as its name and add a trading name later. If you want “FutureBox” to be the registered name, reserve it — you submit up to four choices and CIPC works down the list.</w:t>
      </w:r>
    </w:p>
    <w:p>
      <w:pPr>
        <w:pStyle w:val="ListParagraph"/>
        <w:numPr>
          <w:ilvl w:val="0"/>
          <w:numId w:val="4"/>
        </w:numPr>
        <w:spacing w:after="100" w:line="276"/>
      </w:pPr>
      <w:r>
        <w:rPr>
          <w:b/>
          <w:bCs/>
          <w:color w:val="1a1a1a"/>
          <w:sz w:val="21"/>
          <w:szCs w:val="21"/>
        </w:rPr>
        <w:t xml:space="preserve">Lodge the registration. </w:t>
      </w:r>
      <w:r>
        <w:rPr>
          <w:color w:val="1a1a1a"/>
          <w:sz w:val="21"/>
          <w:szCs w:val="21"/>
        </w:rPr>
        <w:t xml:space="preserve">Directors, share structure, registered address, year-end. The standard Memorandum of Incorporation is fine for a single-owner software company; a custom one is a lawyer’s job and you almost certainly do not need it yet.</w:t>
      </w:r>
    </w:p>
    <w:p>
      <w:pPr>
        <w:pStyle w:val="ListParagraph"/>
        <w:numPr>
          <w:ilvl w:val="0"/>
          <w:numId w:val="4"/>
        </w:numPr>
        <w:spacing w:after="100" w:line="276"/>
      </w:pPr>
      <w:r>
        <w:rPr>
          <w:b/>
          <w:bCs/>
          <w:color w:val="1a1a1a"/>
          <w:sz w:val="21"/>
          <w:szCs w:val="21"/>
        </w:rPr>
        <w:t xml:space="preserve">Wait. </w:t>
      </w:r>
      <w:r>
        <w:rPr>
          <w:color w:val="1a1a1a"/>
          <w:sz w:val="21"/>
          <w:szCs w:val="21"/>
        </w:rPr>
        <w:t xml:space="preserve">Typically a few days if nothing is queried; longer if a name is contested or a document is unclear (verify current turnaround).</w:t>
      </w:r>
    </w:p>
    <w:p>
      <w:pPr>
        <w:pStyle w:val="ListParagraph"/>
        <w:numPr>
          <w:ilvl w:val="0"/>
          <w:numId w:val="4"/>
        </w:numPr>
        <w:spacing w:after="100" w:line="276"/>
      </w:pPr>
      <w:r>
        <w:rPr>
          <w:b/>
          <w:bCs/>
          <w:color w:val="1a1a1a"/>
          <w:sz w:val="21"/>
          <w:szCs w:val="21"/>
        </w:rPr>
        <w:t xml:space="preserve">Collect the documents. </w:t>
      </w:r>
      <w:r>
        <w:rPr>
          <w:color w:val="1a1a1a"/>
          <w:sz w:val="21"/>
          <w:szCs w:val="21"/>
        </w:rPr>
        <w:t xml:space="preserve">You want the CoR14.3 registration certificate and the MOI. Save them somewhere you can find them — Paystack, the bank, Apple and Google will each ask for one or both.</w:t>
      </w:r>
    </w:p>
    <w:p>
      <w:pPr>
        <w:pStyle w:val="ListParagraph"/>
        <w:numPr>
          <w:ilvl w:val="0"/>
          <w:numId w:val="4"/>
        </w:numPr>
        <w:spacing w:after="100" w:line="276"/>
      </w:pPr>
      <w:r>
        <w:rPr>
          <w:b/>
          <w:bCs/>
          <w:color w:val="1a1a1a"/>
          <w:sz w:val="21"/>
          <w:szCs w:val="21"/>
        </w:rPr>
        <w:t xml:space="preserve">Note the registration number. </w:t>
      </w:r>
      <w:r>
        <w:rPr>
          <w:color w:val="1a1a1a"/>
          <w:sz w:val="21"/>
          <w:szCs w:val="21"/>
        </w:rPr>
        <w:t xml:space="preserve">It looks like 2026/123456/07. It goes on the website, on invoices, and into every account you open from here.</w:t>
      </w:r>
    </w:p>
    <w:p>
      <w:pPr>
        <w:pStyle w:val="Heading2"/>
        <w:spacing w:after="140" w:before="280"/>
      </w:pPr>
      <w:r>
        <w:rPr>
          <w:b/>
          <w:bCs/>
          <w:color w:val="1a1a1a"/>
          <w:sz w:val="25"/>
          <w:szCs w:val="25"/>
        </w:rPr>
        <w:t xml:space="preserve">1.3  Tax</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100"/>
        <w:gridCol w:w="2800"/>
        <w:gridCol w:w="4126"/>
      </w:tblGrid>
      <w:tr>
        <w:trPr>
          <w:cantSplit/>
          <w:tblHeader/>
        </w:trPr>
        <w:tc>
          <w:tcPr>
            <w:tcW w:type="dxa" w:w="2100"/>
            <w:shd w:fill="f3f4f6" w:color="auto" w:val="clear"/>
            <w:tcMar>
              <w:top w:type="dxa" w:w="90"/>
              <w:left w:type="dxa" w:w="120"/>
              <w:bottom w:type="dxa" w:w="90"/>
              <w:right w:type="dxa" w:w="120"/>
            </w:tcMar>
          </w:tcPr>
          <w:p>
            <w:pPr>
              <w:spacing w:after="0" w:line="260"/>
            </w:pPr>
            <w:r>
              <w:rPr>
                <w:b/>
                <w:bCs/>
                <w:color w:val="1a1a1a"/>
                <w:sz w:val="19"/>
                <w:szCs w:val="19"/>
              </w:rPr>
              <w:t xml:space="preserve">Registration</w:t>
            </w:r>
          </w:p>
        </w:tc>
        <w:tc>
          <w:tcPr>
            <w:tcW w:type="dxa" w:w="2800"/>
            <w:shd w:fill="f3f4f6" w:color="auto" w:val="clear"/>
            <w:tcMar>
              <w:top w:type="dxa" w:w="90"/>
              <w:left w:type="dxa" w:w="120"/>
              <w:bottom w:type="dxa" w:w="90"/>
              <w:right w:type="dxa" w:w="120"/>
            </w:tcMar>
          </w:tcPr>
          <w:p>
            <w:pPr>
              <w:spacing w:after="0" w:line="260"/>
            </w:pPr>
            <w:r>
              <w:rPr>
                <w:b/>
                <w:bCs/>
                <w:color w:val="1a1a1a"/>
                <w:sz w:val="19"/>
                <w:szCs w:val="19"/>
              </w:rPr>
              <w:t xml:space="preserve">When</w:t>
            </w:r>
          </w:p>
        </w:tc>
        <w:tc>
          <w:tcPr>
            <w:tcW w:type="dxa" w:w="4126"/>
            <w:shd w:fill="f3f4f6" w:color="auto" w:val="clear"/>
            <w:tcMar>
              <w:top w:type="dxa" w:w="90"/>
              <w:left w:type="dxa" w:w="120"/>
              <w:bottom w:type="dxa" w:w="90"/>
              <w:right w:type="dxa" w:w="120"/>
            </w:tcMar>
          </w:tcPr>
          <w:p>
            <w:pPr>
              <w:spacing w:after="0" w:line="260"/>
            </w:pPr>
            <w:r>
              <w:rPr>
                <w:b/>
                <w:bCs/>
                <w:color w:val="1a1a1a"/>
                <w:sz w:val="19"/>
                <w:szCs w:val="19"/>
              </w:rPr>
              <w:t xml:space="preserve">Notes</w:t>
            </w:r>
          </w:p>
        </w:tc>
      </w:tr>
      <w:tr>
        <w:trPr>
          <w:cantSplit/>
        </w:trPr>
        <w:tc>
          <w:tcPr>
            <w:tcW w:type="dxa" w:w="2100"/>
            <w:shd w:fill="ffffff" w:color="auto" w:val="clear"/>
            <w:tcMar>
              <w:top w:type="dxa" w:w="90"/>
              <w:left w:type="dxa" w:w="120"/>
              <w:bottom w:type="dxa" w:w="90"/>
              <w:right w:type="dxa" w:w="120"/>
            </w:tcMar>
          </w:tcPr>
          <w:p>
            <w:pPr>
              <w:spacing w:after="0" w:line="260"/>
            </w:pPr>
            <w:r>
              <w:rPr>
                <w:color w:val="1a1a1a"/>
                <w:sz w:val="19"/>
                <w:szCs w:val="19"/>
              </w:rPr>
              <w:t xml:space="preserve">Income tax (company)</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Automatic on CIPC registration</w:t>
            </w:r>
          </w:p>
        </w:tc>
        <w:tc>
          <w:tcPr>
            <w:tcW w:type="dxa" w:w="4126"/>
            <w:shd w:fill="ffffff" w:color="auto" w:val="clear"/>
            <w:tcMar>
              <w:top w:type="dxa" w:w="90"/>
              <w:left w:type="dxa" w:w="120"/>
              <w:bottom w:type="dxa" w:w="90"/>
              <w:right w:type="dxa" w:w="120"/>
            </w:tcMar>
          </w:tcPr>
          <w:p>
            <w:pPr>
              <w:spacing w:after="0" w:line="260"/>
            </w:pPr>
            <w:r>
              <w:rPr>
                <w:color w:val="1a1a1a"/>
                <w:sz w:val="19"/>
                <w:szCs w:val="19"/>
              </w:rPr>
              <w:t xml:space="preserve">The company gets its own tax number. It must file a return every year even in a year it earned nothing.</w:t>
            </w:r>
          </w:p>
        </w:tc>
      </w:tr>
      <w:tr>
        <w:trPr>
          <w:cantSplit/>
        </w:trPr>
        <w:tc>
          <w:tcPr>
            <w:tcW w:type="dxa" w:w="2100"/>
            <w:shd w:fill="ffffff" w:color="auto" w:val="clear"/>
            <w:tcMar>
              <w:top w:type="dxa" w:w="90"/>
              <w:left w:type="dxa" w:w="120"/>
              <w:bottom w:type="dxa" w:w="90"/>
              <w:right w:type="dxa" w:w="120"/>
            </w:tcMar>
          </w:tcPr>
          <w:p>
            <w:pPr>
              <w:spacing w:after="0" w:line="260"/>
            </w:pPr>
            <w:r>
              <w:rPr>
                <w:color w:val="1a1a1a"/>
                <w:sz w:val="19"/>
                <w:szCs w:val="19"/>
              </w:rPr>
              <w:t xml:space="preserve">VAT</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Compulsory above R1 million turnover in any 12 months. Voluntary from R50 000 (verify both thresholds).</w:t>
            </w:r>
          </w:p>
        </w:tc>
        <w:tc>
          <w:tcPr>
            <w:tcW w:type="dxa" w:w="4126"/>
            <w:shd w:fill="ffffff" w:color="auto" w:val="clear"/>
            <w:tcMar>
              <w:top w:type="dxa" w:w="90"/>
              <w:left w:type="dxa" w:w="120"/>
              <w:bottom w:type="dxa" w:w="90"/>
              <w:right w:type="dxa" w:w="120"/>
            </w:tcMar>
          </w:tcPr>
          <w:p>
            <w:pPr>
              <w:spacing w:after="0" w:line="260"/>
            </w:pPr>
            <w:r>
              <w:rPr>
                <w:color w:val="1a1a1a"/>
                <w:sz w:val="19"/>
                <w:szCs w:val="19"/>
              </w:rPr>
              <w:t xml:space="preserve">Registering voluntarily lets you claim back VAT on inputs, but it means charging 15% and filing every two months. Below the threshold, think about it rather than doing it reflexively.</w:t>
            </w:r>
          </w:p>
        </w:tc>
      </w:tr>
      <w:tr>
        <w:trPr>
          <w:cantSplit/>
        </w:trPr>
        <w:tc>
          <w:tcPr>
            <w:tcW w:type="dxa" w:w="2100"/>
            <w:shd w:fill="ffffff" w:color="auto" w:val="clear"/>
            <w:tcMar>
              <w:top w:type="dxa" w:w="90"/>
              <w:left w:type="dxa" w:w="120"/>
              <w:bottom w:type="dxa" w:w="90"/>
              <w:right w:type="dxa" w:w="120"/>
            </w:tcMar>
          </w:tcPr>
          <w:p>
            <w:pPr>
              <w:spacing w:after="0" w:line="260"/>
            </w:pPr>
            <w:r>
              <w:rPr>
                <w:color w:val="1a1a1a"/>
                <w:sz w:val="19"/>
                <w:szCs w:val="19"/>
              </w:rPr>
              <w:t xml:space="preserve">PAYE / UIF / SDL</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When you employ anybody, including yourself on a salary</w:t>
            </w:r>
          </w:p>
        </w:tc>
        <w:tc>
          <w:tcPr>
            <w:tcW w:type="dxa" w:w="4126"/>
            <w:shd w:fill="ffffff" w:color="auto" w:val="clear"/>
            <w:tcMar>
              <w:top w:type="dxa" w:w="90"/>
              <w:left w:type="dxa" w:w="120"/>
              <w:bottom w:type="dxa" w:w="90"/>
              <w:right w:type="dxa" w:w="120"/>
            </w:tcMar>
          </w:tcPr>
          <w:p>
            <w:pPr>
              <w:spacing w:after="0" w:line="260"/>
            </w:pPr>
            <w:r>
              <w:rPr>
                <w:color w:val="1a1a1a"/>
                <w:sz w:val="19"/>
                <w:szCs w:val="19"/>
              </w:rPr>
              <w:t xml:space="preserve">BizPortal can do UIF and the Compensation Fund at registration.</w:t>
            </w:r>
          </w:p>
        </w:tc>
      </w:tr>
      <w:tr>
        <w:trPr>
          <w:cantSplit/>
        </w:trPr>
        <w:tc>
          <w:tcPr>
            <w:tcW w:type="dxa" w:w="2100"/>
            <w:shd w:fill="ffffff" w:color="auto" w:val="clear"/>
            <w:tcMar>
              <w:top w:type="dxa" w:w="90"/>
              <w:left w:type="dxa" w:w="120"/>
              <w:bottom w:type="dxa" w:w="90"/>
              <w:right w:type="dxa" w:w="120"/>
            </w:tcMar>
          </w:tcPr>
          <w:p>
            <w:pPr>
              <w:spacing w:after="0" w:line="260"/>
            </w:pPr>
            <w:r>
              <w:rPr>
                <w:color w:val="1a1a1a"/>
                <w:sz w:val="19"/>
                <w:szCs w:val="19"/>
              </w:rPr>
              <w:t xml:space="preserve">Provisional tax</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For the company, twice a year</w:t>
            </w:r>
          </w:p>
        </w:tc>
        <w:tc>
          <w:tcPr>
            <w:tcW w:type="dxa" w:w="4126"/>
            <w:shd w:fill="ffffff" w:color="auto" w:val="clear"/>
            <w:tcMar>
              <w:top w:type="dxa" w:w="90"/>
              <w:left w:type="dxa" w:w="120"/>
              <w:bottom w:type="dxa" w:w="90"/>
              <w:right w:type="dxa" w:w="120"/>
            </w:tcMar>
          </w:tcPr>
          <w:p>
            <w:pPr>
              <w:spacing w:after="0" w:line="260"/>
            </w:pPr>
            <w:r>
              <w:rPr>
                <w:color w:val="1a1a1a"/>
                <w:sz w:val="19"/>
                <w:szCs w:val="19"/>
              </w:rPr>
              <w:t xml:space="preserve">The first payment sneaks up on people in the first year of trading.</w:t>
            </w:r>
          </w:p>
        </w:tc>
      </w:tr>
    </w:tbl>
    <w:p>
      <w:pPr>
        <w:spacing w:after="140" w:line="276"/>
      </w:pPr>
      <w:r>
        <w:rPr>
          <w:color w:val="1a1a1a"/>
          <w:sz w:val="21"/>
          <w:szCs w:val="21"/>
        </w:rPr>
        <w:t xml:space="preserve"/>
      </w:r>
    </w:p>
    <w:tbl>
      <w:tblPr>
        <w:tblW w:type="dxa" w:w="9026"/>
        <w:tblBorders>
          <w:top w:val="single" w:color="d97706" w:sz="2"/>
          <w:left w:val="single" w:color="d97706" w:sz="12"/>
          <w:bottom w:val="single" w:color="d97706" w:sz="2"/>
          <w:right w:val="single" w:color="d97706" w:sz="2"/>
          <w:insideH w:val="none" w:color="auto" w:sz="0"/>
          <w:insideV w:val="none" w:color="auto" w:sz="0"/>
        </w:tblBorders>
      </w:tblPr>
      <w:tblGrid>
        <w:gridCol w:w="9026"/>
      </w:tblGrid>
      <w:tr>
        <w:trPr>
          <w:cantSplit/>
        </w:trPr>
        <w:tc>
          <w:tcPr>
            <w:tcW w:type="dxa" w:w="9026"/>
            <w:shd w:fill="fef3c7" w:color="auto" w:val="clear"/>
            <w:tcMar>
              <w:top w:type="dxa" w:w="160"/>
              <w:left w:type="dxa" w:w="200"/>
              <w:bottom w:type="dxa" w:w="160"/>
              <w:right w:type="dxa" w:w="200"/>
            </w:tcMar>
          </w:tcPr>
          <w:p>
            <w:pPr>
              <w:spacing w:after="80"/>
            </w:pPr>
            <w:r>
              <w:rPr>
                <w:b/>
                <w:bCs/>
                <w:color w:val="d97706"/>
                <w:sz w:val="21"/>
                <w:szCs w:val="21"/>
              </w:rPr>
              <w:t xml:space="preserve">Two tax points that are specific to what FutureBox does</w:t>
            </w:r>
          </w:p>
          <w:p>
            <w:pPr>
              <w:spacing w:after="60" w:line="276"/>
            </w:pPr>
            <w:r>
              <w:rPr>
                <w:color w:val="1a1a1a"/>
                <w:sz w:val="20"/>
                <w:szCs w:val="20"/>
              </w:rPr>
              <w:t xml:space="preserve">Imported services. You buy from ElevenLabs, Anthropic, Vercel, Supabase and the video engines — all foreign. If you are VAT registered there are rules about VAT on imported services; if you are not, there is a separate obligation that catches people out. Ask an accountant specifically about this, naming the suppliers.</w:t>
            </w:r>
          </w:p>
          <w:p>
            <w:pPr>
              <w:spacing w:after="60" w:line="276"/>
            </w:pPr>
            <w:r>
              <w:rPr>
                <w:color w:val="1a1a1a"/>
                <w:sz w:val="20"/>
                <w:szCs w:val="20"/>
              </w:rPr>
              <w:t xml:space="preserve">Selling to customers outside South Africa. VAT treatment of electronic services sold across borders is its own subject, and several countries require a foreign seller of digital services to register locally once they pass a threshold. This does not matter at ten customers. It matters at a thousand, and it is much easier to plan for than to unwind.</w:t>
            </w:r>
          </w:p>
        </w:tc>
      </w:tr>
    </w:tbl>
    <w:p>
      <w:pPr>
        <w:pStyle w:val="Heading2"/>
        <w:spacing w:after="140" w:before="280"/>
      </w:pPr>
      <w:r>
        <w:rPr>
          <w:b/>
          <w:bCs/>
          <w:color w:val="1a1a1a"/>
          <w:sz w:val="25"/>
          <w:szCs w:val="25"/>
        </w:rPr>
        <w:t xml:space="preserve">1.4  The bank account</w:t>
      </w:r>
    </w:p>
    <w:p>
      <w:pPr>
        <w:spacing w:after="140" w:line="276"/>
      </w:pPr>
      <w:r>
        <w:rPr>
          <w:color w:val="1a1a1a"/>
          <w:sz w:val="21"/>
          <w:szCs w:val="21"/>
        </w:rPr>
        <w:t xml:space="preserve">Open a business account in the company’s name as soon as the registration certificate is in hand. Every major South African bank has a small-business account; the differences that matter are the monthly fee, whether they charge per transaction, and how quickly they open it.</w:t>
      </w:r>
    </w:p>
    <w:p>
      <w:pPr>
        <w:pStyle w:val="ListParagraph"/>
        <w:numPr>
          <w:ilvl w:val="0"/>
          <w:numId w:val="3"/>
        </w:numPr>
        <w:spacing w:after="90" w:line="276"/>
      </w:pPr>
      <w:r>
        <w:rPr>
          <w:color w:val="1a1a1a"/>
          <w:sz w:val="21"/>
          <w:szCs w:val="21"/>
        </w:rPr>
        <w:t xml:space="preserve">Take the CoR14.3, the MOI, your ID, and proof of the business address.</w:t>
      </w:r>
    </w:p>
    <w:p>
      <w:pPr>
        <w:pStyle w:val="ListParagraph"/>
        <w:numPr>
          <w:ilvl w:val="0"/>
          <w:numId w:val="3"/>
        </w:numPr>
        <w:spacing w:after="90" w:line="276"/>
      </w:pPr>
      <w:r>
        <w:rPr>
          <w:color w:val="1a1a1a"/>
          <w:sz w:val="21"/>
          <w:szCs w:val="21"/>
        </w:rPr>
        <w:t xml:space="preserve">The account name must match the registered company name exactly — Paystack matches them, and a mismatch stops payouts.</w:t>
      </w:r>
    </w:p>
    <w:p>
      <w:pPr>
        <w:pStyle w:val="ListParagraph"/>
        <w:numPr>
          <w:ilvl w:val="0"/>
          <w:numId w:val="3"/>
        </w:numPr>
        <w:spacing w:after="90" w:line="276"/>
      </w:pPr>
      <w:r>
        <w:rPr>
          <w:color w:val="1a1a1a"/>
          <w:sz w:val="21"/>
          <w:szCs w:val="21"/>
        </w:rPr>
        <w:t xml:space="preserve">Put every vendor subscription on this account’s card. Mixing personal and company spend is the single most common reason a small company’s first tax year is expensive to sort out.</w:t>
      </w:r>
    </w:p>
    <w:p>
      <w:pPr>
        <w:pStyle w:val="Heading2"/>
        <w:spacing w:after="140" w:before="280"/>
      </w:pPr>
      <w:r>
        <w:rPr>
          <w:b/>
          <w:bCs/>
          <w:color w:val="1a1a1a"/>
          <w:sz w:val="25"/>
          <w:szCs w:val="25"/>
        </w:rPr>
        <w:t xml:space="preserve">1.5  The name, the domain and the trademark</w:t>
      </w:r>
    </w:p>
    <w:tbl>
      <w:tblPr>
        <w:tblW w:type="dxa" w:w="9026"/>
        <w:tblBorders>
          <w:top w:val="single" w:color="b91c1c" w:sz="2"/>
          <w:left w:val="single" w:color="b91c1c" w:sz="12"/>
          <w:bottom w:val="single" w:color="b91c1c" w:sz="2"/>
          <w:right w:val="single" w:color="b91c1c" w:sz="2"/>
          <w:insideH w:val="none" w:color="auto" w:sz="0"/>
          <w:insideV w:val="none" w:color="auto" w:sz="0"/>
        </w:tblBorders>
      </w:tblPr>
      <w:tblGrid>
        <w:gridCol w:w="9026"/>
      </w:tblGrid>
      <w:tr>
        <w:trPr>
          <w:cantSplit/>
        </w:trPr>
        <w:tc>
          <w:tcPr>
            <w:tcW w:type="dxa" w:w="9026"/>
            <w:shd w:fill="fee2e2" w:color="auto" w:val="clear"/>
            <w:tcMar>
              <w:top w:type="dxa" w:w="160"/>
              <w:left w:type="dxa" w:w="200"/>
              <w:bottom w:type="dxa" w:w="160"/>
              <w:right w:type="dxa" w:w="200"/>
            </w:tcMar>
          </w:tcPr>
          <w:p>
            <w:pPr>
              <w:spacing w:after="80"/>
            </w:pPr>
            <w:r>
              <w:rPr>
                <w:b/>
                <w:bCs/>
                <w:color w:val="b91c1c"/>
                <w:sz w:val="21"/>
                <w:szCs w:val="21"/>
              </w:rPr>
              <w:t xml:space="preserve">This one is already a live problem</w:t>
            </w:r>
          </w:p>
          <w:p>
            <w:pPr>
              <w:spacing w:after="60" w:line="276"/>
            </w:pPr>
            <w:r>
              <w:rPr>
                <w:color w:val="1a1a1a"/>
                <w:sz w:val="20"/>
                <w:szCs w:val="20"/>
              </w:rPr>
              <w:t xml:space="preserve">The app currently shows people “futurebox-app.vercel.app/@theirhandle” as their own address, and an earlier check found that futurebox.app, futurebox.com, futurebox.co.za, futurebox.io and futurebox.ai are all already registered to somebody else.</w:t>
            </w:r>
          </w:p>
          <w:p>
            <w:pPr>
              <w:spacing w:after="60" w:line="276"/>
            </w:pPr>
            <w:r>
              <w:rPr>
                <w:color w:val="1a1a1a"/>
                <w:sz w:val="20"/>
                <w:szCs w:val="20"/>
              </w:rPr>
              <w:t xml:space="preserve">Registering the company as FutureBox does not give you the name. A company name, a domain and a trademark are three separate things, and only the trademark stops somebody else using it.</w:t>
            </w:r>
          </w:p>
          <w:p>
            <w:pPr>
              <w:spacing w:after="60" w:line="276"/>
            </w:pPr>
            <w:r>
              <w:rPr>
                <w:color w:val="1a1a1a"/>
                <w:sz w:val="20"/>
                <w:szCs w:val="20"/>
              </w:rPr>
              <w:t xml:space="preserve">“FutureBox” is two ordinary English words, which cuts both ways: hard for anyone else to own outright, and hard for you to own either. Settle this before anything is printed, before the app store listings are written, and before the address in the app is real.</w:t>
            </w:r>
          </w:p>
        </w:tc>
      </w:tr>
    </w:tbl>
    <w:p>
      <w:pPr>
        <w:pStyle w:val="Heading3"/>
        <w:spacing w:after="100" w:before="220"/>
      </w:pPr>
      <w:r>
        <w:rPr>
          <w:b/>
          <w:bCs/>
          <w:color w:val="047857"/>
          <w:sz w:val="22"/>
          <w:szCs w:val="22"/>
        </w:rPr>
        <w:t xml:space="preserve">What to check, and where</w:t>
      </w:r>
    </w:p>
    <w:p>
      <w:pPr>
        <w:pStyle w:val="ListParagraph"/>
        <w:numPr>
          <w:ilvl w:val="0"/>
          <w:numId w:val="3"/>
        </w:numPr>
        <w:spacing w:after="90" w:line="276"/>
      </w:pPr>
      <w:r>
        <w:rPr>
          <w:b/>
          <w:bCs/>
          <w:color w:val="1a1a1a"/>
          <w:sz w:val="21"/>
          <w:szCs w:val="21"/>
        </w:rPr>
        <w:t xml:space="preserve">Company name: </w:t>
      </w:r>
      <w:r>
        <w:rPr>
          <w:color w:val="1a1a1a"/>
          <w:sz w:val="21"/>
          <w:szCs w:val="21"/>
        </w:rPr>
        <w:t xml:space="preserve">CIPC’s name search, as part of the registration.</w:t>
      </w:r>
    </w:p>
    <w:p>
      <w:pPr>
        <w:pStyle w:val="ListParagraph"/>
        <w:numPr>
          <w:ilvl w:val="0"/>
          <w:numId w:val="3"/>
        </w:numPr>
        <w:spacing w:after="90" w:line="276"/>
      </w:pPr>
      <w:r>
        <w:rPr>
          <w:b/>
          <w:bCs/>
          <w:color w:val="1a1a1a"/>
          <w:sz w:val="21"/>
          <w:szCs w:val="21"/>
        </w:rPr>
        <w:t xml:space="preserve">Domain: </w:t>
      </w:r>
      <w:r>
        <w:rPr>
          <w:color w:val="1a1a1a"/>
          <w:sz w:val="21"/>
          <w:szCs w:val="21"/>
        </w:rPr>
        <w:t xml:space="preserve">any registrar. .co.za is registered through ZACR; .com and .app through anyone. Buy the ones you will actually use and one defensive variant, not twelve.</w:t>
      </w:r>
    </w:p>
    <w:p>
      <w:pPr>
        <w:pStyle w:val="ListParagraph"/>
        <w:numPr>
          <w:ilvl w:val="0"/>
          <w:numId w:val="3"/>
        </w:numPr>
        <w:spacing w:after="90" w:line="276"/>
      </w:pPr>
      <w:r>
        <w:rPr>
          <w:b/>
          <w:bCs/>
          <w:color w:val="1a1a1a"/>
          <w:sz w:val="21"/>
          <w:szCs w:val="21"/>
        </w:rPr>
        <w:t xml:space="preserve">Trademark: </w:t>
      </w:r>
      <w:r>
        <w:rPr>
          <w:color w:val="1a1a1a"/>
          <w:sz w:val="21"/>
          <w:szCs w:val="21"/>
        </w:rPr>
        <w:t xml:space="preserve">CIPC’s trade mark register. For software you want class 9 (software) and class 42 (software as a service). Each class is a separate fee.</w:t>
      </w:r>
    </w:p>
    <w:p>
      <w:pPr>
        <w:pStyle w:val="ListParagraph"/>
        <w:numPr>
          <w:ilvl w:val="0"/>
          <w:numId w:val="3"/>
        </w:numPr>
        <w:spacing w:after="90" w:line="276"/>
      </w:pPr>
      <w:r>
        <w:rPr>
          <w:b/>
          <w:bCs/>
          <w:color w:val="1a1a1a"/>
          <w:sz w:val="21"/>
          <w:szCs w:val="21"/>
        </w:rPr>
        <w:t xml:space="preserve">Abroad, if it matters: </w:t>
      </w:r>
      <w:r>
        <w:rPr>
          <w:color w:val="1a1a1a"/>
          <w:sz w:val="21"/>
          <w:szCs w:val="21"/>
        </w:rPr>
        <w:t xml:space="preserve">the EUIPO and USPTO search tools are free and take minutes. Worth doing before you commit, because a store listing is worldwide by default.</w:t>
      </w:r>
    </w:p>
    <w:p>
      <w:pPr>
        <w:spacing w:after="140" w:line="276"/>
      </w:pPr>
      <w:r>
        <w:rPr>
          <w:color w:val="1a1a1a"/>
          <w:sz w:val="21"/>
          <w:szCs w:val="21"/>
        </w:rPr>
        <w:t xml:space="preserve">A trademark application in South Africa takes a long time to register — expect well over a year to certificate — but the protection dates from the application. Applying early is the cheap part.</w:t>
      </w:r>
    </w:p>
    <w:p>
      <w:pPr>
        <w:pStyle w:val="Heading1"/>
        <w:pageBreakBefore/>
        <w:spacing w:after="180" w:before="360"/>
      </w:pPr>
      <w:r>
        <w:rPr>
          <w:b/>
          <w:bCs/>
          <w:color w:val="1a1a1a"/>
          <w:sz w:val="32"/>
          <w:szCs w:val="32"/>
        </w:rPr>
        <w:t xml:space="preserve">Part 2 — Before you take money from strangers</w:t>
      </w:r>
    </w:p>
    <w:p>
      <w:pPr>
        <w:spacing w:after="140" w:line="276"/>
      </w:pPr>
      <w:r>
        <w:rPr>
          <w:color w:val="1a1a1a"/>
          <w:sz w:val="21"/>
          <w:szCs w:val="21"/>
        </w:rPr>
        <w:t xml:space="preserve">These are the obligations that already apply to FutureBox as a website, whether or not it ever reaches an app store.</w:t>
      </w:r>
    </w:p>
    <w:p>
      <w:pPr>
        <w:pStyle w:val="Heading2"/>
        <w:spacing w:after="140" w:before="280"/>
      </w:pPr>
      <w:r>
        <w:rPr>
          <w:b/>
          <w:bCs/>
          <w:color w:val="1a1a1a"/>
          <w:sz w:val="25"/>
          <w:szCs w:val="25"/>
        </w:rPr>
        <w:t xml:space="preserve">2.1  POPIA</w:t>
      </w:r>
    </w:p>
    <w:p>
      <w:pPr>
        <w:spacing w:after="140" w:line="276"/>
      </w:pPr>
      <w:r>
        <w:rPr>
          <w:color w:val="1a1a1a"/>
          <w:sz w:val="21"/>
          <w:szCs w:val="21"/>
        </w:rPr>
        <w:t xml:space="preserve">The Protection of Personal Information Act applies to you the moment you hold a South African’s personal information — which you do the moment somebody signs up. Four things follow.</w:t>
      </w:r>
    </w:p>
    <w:p>
      <w:pPr>
        <w:pStyle w:val="ListParagraph"/>
        <w:numPr>
          <w:ilvl w:val="0"/>
          <w:numId w:val="5"/>
        </w:numPr>
        <w:spacing w:after="100" w:line="276"/>
      </w:pPr>
      <w:r>
        <w:rPr>
          <w:b/>
          <w:bCs/>
          <w:color w:val="1a1a1a"/>
          <w:sz w:val="21"/>
          <w:szCs w:val="21"/>
        </w:rPr>
        <w:t xml:space="preserve">Register an Information Officer with the Information Regulator. </w:t>
      </w:r>
      <w:r>
        <w:rPr>
          <w:color w:val="1a1a1a"/>
          <w:sz w:val="21"/>
          <w:szCs w:val="21"/>
        </w:rPr>
        <w:t xml:space="preserve">By default this is the head of the entity — you. Registration is free, done on the Regulator’s online portal, and it is the most commonly skipped POPIA step in the country. Deputy Information Officers are optional; for a one-person company you do not need one.</w:t>
      </w:r>
    </w:p>
    <w:p>
      <w:pPr>
        <w:pStyle w:val="ListParagraph"/>
        <w:numPr>
          <w:ilvl w:val="0"/>
          <w:numId w:val="5"/>
        </w:numPr>
        <w:spacing w:after="100" w:line="276"/>
      </w:pPr>
      <w:r>
        <w:rPr>
          <w:b/>
          <w:bCs/>
          <w:color w:val="1a1a1a"/>
          <w:sz w:val="21"/>
          <w:szCs w:val="21"/>
        </w:rPr>
        <w:t xml:space="preserve">Have a PAIA manual. </w:t>
      </w:r>
      <w:r>
        <w:rPr>
          <w:color w:val="1a1a1a"/>
          <w:sz w:val="21"/>
          <w:szCs w:val="21"/>
        </w:rPr>
        <w:t xml:space="preserve">A short document setting out what records the company holds and how somebody asks for them. Templates exist; the Regulator publishes one. Confirm the current position on exemptions for small entities — it has moved more than once (verify).</w:t>
      </w:r>
    </w:p>
    <w:p>
      <w:pPr>
        <w:pStyle w:val="ListParagraph"/>
        <w:numPr>
          <w:ilvl w:val="0"/>
          <w:numId w:val="5"/>
        </w:numPr>
        <w:spacing w:after="100" w:line="276"/>
      </w:pPr>
      <w:r>
        <w:rPr>
          <w:b/>
          <w:bCs/>
          <w:color w:val="1a1a1a"/>
          <w:sz w:val="21"/>
          <w:szCs w:val="21"/>
        </w:rPr>
        <w:t xml:space="preserve">Publish a privacy notice that matches what the app actually does. </w:t>
      </w:r>
      <w:r>
        <w:rPr>
          <w:color w:val="1a1a1a"/>
          <w:sz w:val="21"/>
          <w:szCs w:val="21"/>
        </w:rPr>
        <w:t xml:space="preserve">You have one, and it is unusually specific. Keep it that way: a notice that describes something the app does not do is worse than a vague one, because it is checkable.</w:t>
      </w:r>
    </w:p>
    <w:p>
      <w:pPr>
        <w:pStyle w:val="ListParagraph"/>
        <w:numPr>
          <w:ilvl w:val="0"/>
          <w:numId w:val="5"/>
        </w:numPr>
        <w:spacing w:after="100" w:line="276"/>
      </w:pPr>
      <w:r>
        <w:rPr>
          <w:b/>
          <w:bCs/>
          <w:color w:val="1a1a1a"/>
          <w:sz w:val="21"/>
          <w:szCs w:val="21"/>
        </w:rPr>
        <w:t xml:space="preserve">Have a plan for a breach. </w:t>
      </w:r>
      <w:r>
        <w:rPr>
          <w:color w:val="1a1a1a"/>
          <w:sz w:val="21"/>
          <w:szCs w:val="21"/>
        </w:rPr>
        <w:t xml:space="preserve">POPIA requires notifying the Regulator and the affected people. Decide now who does what, because the notification clock is not generous and it is not the moment to be inventing a process.</w:t>
      </w:r>
    </w:p>
    <w:tbl>
      <w:tblPr>
        <w:tblW w:type="dxa" w:w="9026"/>
        <w:tblBorders>
          <w:top w:val="single" w:color="b91c1c" w:sz="2"/>
          <w:left w:val="single" w:color="b91c1c" w:sz="12"/>
          <w:bottom w:val="single" w:color="b91c1c" w:sz="2"/>
          <w:right w:val="single" w:color="b91c1c" w:sz="2"/>
          <w:insideH w:val="none" w:color="auto" w:sz="0"/>
          <w:insideV w:val="none" w:color="auto" w:sz="0"/>
        </w:tblBorders>
      </w:tblPr>
      <w:tblGrid>
        <w:gridCol w:w="9026"/>
      </w:tblGrid>
      <w:tr>
        <w:trPr>
          <w:cantSplit/>
        </w:trPr>
        <w:tc>
          <w:tcPr>
            <w:tcW w:type="dxa" w:w="9026"/>
            <w:shd w:fill="fee2e2" w:color="auto" w:val="clear"/>
            <w:tcMar>
              <w:top w:type="dxa" w:w="160"/>
              <w:left w:type="dxa" w:w="200"/>
              <w:bottom w:type="dxa" w:w="160"/>
              <w:right w:type="dxa" w:w="200"/>
            </w:tcMar>
          </w:tcPr>
          <w:p>
            <w:pPr>
              <w:spacing w:after="80"/>
            </w:pPr>
            <w:r>
              <w:rPr>
                <w:b/>
                <w:bCs/>
                <w:color w:val="b91c1c"/>
                <w:sz w:val="21"/>
                <w:szCs w:val="21"/>
              </w:rPr>
              <w:t xml:space="preserve">A gap in the current terms worth closing</w:t>
            </w:r>
          </w:p>
          <w:p>
            <w:pPr>
              <w:spacing w:after="60" w:line="276"/>
            </w:pPr>
            <w:r>
              <w:rPr>
                <w:color w:val="1a1a1a"/>
                <w:sz w:val="20"/>
                <w:szCs w:val="20"/>
              </w:rPr>
              <w:t xml:space="preserve">The terms say you must be 13 or older. POPIA treats anybody under 18 as a child, and processing a child’s personal information generally requires the consent of a competent person — a parent or guardian — not the child’s own.</w:t>
            </w:r>
          </w:p>
          <w:p>
            <w:pPr>
              <w:spacing w:after="60" w:line="276"/>
            </w:pPr>
            <w:r>
              <w:rPr>
                <w:color w:val="1a1a1a"/>
                <w:sz w:val="20"/>
                <w:szCs w:val="20"/>
              </w:rPr>
              <w:t xml:space="preserve">Two ways out, and they are a business decision rather than a technical one: raise the minimum age to 18, or build a parental-consent step for under-18s. The second is real work and it is what several music and video platforms have had to do.</w:t>
            </w:r>
          </w:p>
          <w:p>
            <w:pPr>
              <w:spacing w:after="60" w:line="276"/>
            </w:pPr>
            <w:r>
              <w:rPr>
                <w:color w:val="1a1a1a"/>
                <w:sz w:val="20"/>
                <w:szCs w:val="20"/>
              </w:rPr>
              <w:t xml:space="preserve">This is the one item in this document most worth putting to an attorney, because getting it wrong is a complaint to the Regulator rather than a rejected app.</w:t>
            </w:r>
          </w:p>
        </w:tc>
      </w:tr>
    </w:tbl>
    <w:p>
      <w:pPr>
        <w:pStyle w:val="Heading2"/>
        <w:spacing w:after="140" w:before="280"/>
      </w:pPr>
      <w:r>
        <w:rPr>
          <w:b/>
          <w:bCs/>
          <w:color w:val="1a1a1a"/>
          <w:sz w:val="25"/>
          <w:szCs w:val="25"/>
        </w:rPr>
        <w:t xml:space="preserve">2.2  What the law makes you publish</w:t>
      </w:r>
    </w:p>
    <w:p>
      <w:pPr>
        <w:spacing w:after="140" w:line="276"/>
      </w:pPr>
      <w:r>
        <w:rPr>
          <w:color w:val="1a1a1a"/>
          <w:sz w:val="21"/>
          <w:szCs w:val="21"/>
        </w:rPr>
        <w:t xml:space="preserve">The Electronic Communications and Transactions Act sets out what a site selling to South Africans must disclose. It is a long list and most of it you already satisfy, but one item conflicts with a design decision in the app.</w:t>
      </w:r>
    </w:p>
    <w:p>
      <w:pPr>
        <w:pStyle w:val="ListParagraph"/>
        <w:numPr>
          <w:ilvl w:val="0"/>
          <w:numId w:val="3"/>
        </w:numPr>
        <w:spacing w:after="90" w:line="276"/>
      </w:pPr>
      <w:r>
        <w:rPr>
          <w:color w:val="1a1a1a"/>
          <w:sz w:val="21"/>
          <w:szCs w:val="21"/>
        </w:rPr>
        <w:t xml:space="preserve">The full name and legal status of the business, and its registration number.</w:t>
      </w:r>
    </w:p>
    <w:p>
      <w:pPr>
        <w:pStyle w:val="ListParagraph"/>
        <w:numPr>
          <w:ilvl w:val="0"/>
          <w:numId w:val="3"/>
        </w:numPr>
        <w:spacing w:after="90" w:line="276"/>
      </w:pPr>
      <w:r>
        <w:rPr>
          <w:color w:val="1a1a1a"/>
          <w:sz w:val="21"/>
          <w:szCs w:val="21"/>
        </w:rPr>
        <w:t xml:space="preserve">A physical address and a telephone number.</w:t>
      </w:r>
    </w:p>
    <w:p>
      <w:pPr>
        <w:pStyle w:val="ListParagraph"/>
        <w:numPr>
          <w:ilvl w:val="0"/>
          <w:numId w:val="3"/>
        </w:numPr>
        <w:spacing w:after="90" w:line="276"/>
      </w:pPr>
      <w:r>
        <w:rPr>
          <w:color w:val="1a1a1a"/>
          <w:sz w:val="21"/>
          <w:szCs w:val="21"/>
        </w:rPr>
        <w:t xml:space="preserve">The website address and an email address.</w:t>
      </w:r>
    </w:p>
    <w:p>
      <w:pPr>
        <w:pStyle w:val="ListParagraph"/>
        <w:numPr>
          <w:ilvl w:val="0"/>
          <w:numId w:val="3"/>
        </w:numPr>
        <w:spacing w:after="90" w:line="276"/>
      </w:pPr>
      <w:r>
        <w:rPr>
          <w:color w:val="1a1a1a"/>
          <w:sz w:val="21"/>
          <w:szCs w:val="21"/>
        </w:rPr>
        <w:t xml:space="preserve">A full description of what is sold, and the full price including any tax and delivery.</w:t>
      </w:r>
    </w:p>
    <w:p>
      <w:pPr>
        <w:pStyle w:val="ListParagraph"/>
        <w:numPr>
          <w:ilvl w:val="0"/>
          <w:numId w:val="3"/>
        </w:numPr>
        <w:spacing w:after="90" w:line="276"/>
      </w:pPr>
      <w:r>
        <w:rPr>
          <w:color w:val="1a1a1a"/>
          <w:sz w:val="21"/>
          <w:szCs w:val="21"/>
        </w:rPr>
        <w:t xml:space="preserve">Payment terms, and the security of the payment method.</w:t>
      </w:r>
    </w:p>
    <w:p>
      <w:pPr>
        <w:pStyle w:val="ListParagraph"/>
        <w:numPr>
          <w:ilvl w:val="0"/>
          <w:numId w:val="3"/>
        </w:numPr>
        <w:spacing w:after="90" w:line="276"/>
      </w:pPr>
      <w:r>
        <w:rPr>
          <w:color w:val="1a1a1a"/>
          <w:sz w:val="21"/>
          <w:szCs w:val="21"/>
        </w:rPr>
        <w:t xml:space="preserve">The cooling-off rights that apply, and how to exercise them.</w:t>
      </w:r>
    </w:p>
    <w:p>
      <w:pPr>
        <w:pStyle w:val="ListParagraph"/>
        <w:numPr>
          <w:ilvl w:val="0"/>
          <w:numId w:val="3"/>
        </w:numPr>
        <w:spacing w:after="90" w:line="276"/>
      </w:pPr>
      <w:r>
        <w:rPr>
          <w:color w:val="1a1a1a"/>
          <w:sz w:val="21"/>
          <w:szCs w:val="21"/>
        </w:rPr>
        <w:t xml:space="preserve">The complaints procedure, and how a customer can get a record of their transaction.</w:t>
      </w:r>
    </w:p>
    <w:tbl>
      <w:tblPr>
        <w:tblW w:type="dxa" w:w="9026"/>
        <w:tblBorders>
          <w:top w:val="single" w:color="b91c1c" w:sz="2"/>
          <w:left w:val="single" w:color="b91c1c" w:sz="12"/>
          <w:bottom w:val="single" w:color="b91c1c" w:sz="2"/>
          <w:right w:val="single" w:color="b91c1c" w:sz="2"/>
          <w:insideH w:val="none" w:color="auto" w:sz="0"/>
          <w:insideV w:val="none" w:color="auto" w:sz="0"/>
        </w:tblBorders>
      </w:tblPr>
      <w:tblGrid>
        <w:gridCol w:w="9026"/>
      </w:tblGrid>
      <w:tr>
        <w:trPr>
          <w:cantSplit/>
        </w:trPr>
        <w:tc>
          <w:tcPr>
            <w:tcW w:type="dxa" w:w="9026"/>
            <w:shd w:fill="fee2e2" w:color="auto" w:val="clear"/>
            <w:tcMar>
              <w:top w:type="dxa" w:w="160"/>
              <w:left w:type="dxa" w:w="200"/>
              <w:bottom w:type="dxa" w:w="160"/>
              <w:right w:type="dxa" w:w="200"/>
            </w:tcMar>
          </w:tcPr>
          <w:p>
            <w:pPr>
              <w:spacing w:after="80"/>
            </w:pPr>
            <w:r>
              <w:rPr>
                <w:b/>
                <w:bCs/>
                <w:color w:val="b91c1c"/>
                <w:sz w:val="21"/>
                <w:szCs w:val="21"/>
              </w:rPr>
              <w:t xml:space="preserve">The conflict, stated plainly</w:t>
            </w:r>
          </w:p>
          <w:p>
            <w:pPr>
              <w:spacing w:after="60" w:line="276"/>
            </w:pPr>
            <w:r>
              <w:rPr>
                <w:color w:val="1a1a1a"/>
                <w:sz w:val="20"/>
                <w:szCs w:val="20"/>
              </w:rPr>
              <w:t xml:space="preserve">FutureBox deliberately publishes no email address and no postal address anywhere — there is a check in the codebase that fails the build if one appears, and the contact form was built precisely so that a person can write to you without an address being on the page.</w:t>
            </w:r>
          </w:p>
          <w:p>
            <w:pPr>
              <w:spacing w:after="60" w:line="276"/>
            </w:pPr>
            <w:r>
              <w:rPr>
                <w:color w:val="1a1a1a"/>
                <w:sz w:val="20"/>
                <w:szCs w:val="20"/>
              </w:rPr>
              <w:t xml:space="preserve">That was a good decision against spam and it is very likely not compatible with ECTA, which requires a physical address and contact details to be available to a consumer before they transact.</w:t>
            </w:r>
          </w:p>
          <w:p>
            <w:pPr>
              <w:spacing w:after="60" w:line="276"/>
            </w:pPr>
            <w:r>
              <w:rPr>
                <w:color w:val="1a1a1a"/>
                <w:sz w:val="20"/>
                <w:szCs w:val="20"/>
              </w:rPr>
              <w:t xml:space="preserve">The usual resolution is not to abandon the contact form. It is to put the required particulars on one legal page — company name, registration number, physical address, a contact number — and leave the form as the way people actually reach you. Many South African sites do exactly this. Confirm the wording with an attorney and then relax the codebase check for that one page.</w:t>
            </w:r>
          </w:p>
        </w:tc>
      </w:tr>
    </w:tbl>
    <w:p>
      <w:pPr>
        <w:pStyle w:val="Heading2"/>
        <w:spacing w:after="140" w:before="280"/>
      </w:pPr>
      <w:r>
        <w:rPr>
          <w:b/>
          <w:bCs/>
          <w:color w:val="1a1a1a"/>
          <w:sz w:val="25"/>
          <w:szCs w:val="25"/>
        </w:rPr>
        <w:t xml:space="preserve">2.3  Cancelling, cooling off and refunds</w:t>
      </w:r>
    </w:p>
    <w:p>
      <w:pPr>
        <w:pStyle w:val="ListParagraph"/>
        <w:numPr>
          <w:ilvl w:val="0"/>
          <w:numId w:val="3"/>
        </w:numPr>
        <w:spacing w:after="90" w:line="276"/>
      </w:pPr>
      <w:r>
        <w:rPr>
          <w:b/>
          <w:bCs/>
          <w:color w:val="1a1a1a"/>
          <w:sz w:val="21"/>
          <w:szCs w:val="21"/>
        </w:rPr>
        <w:t xml:space="preserve">Cooling off. </w:t>
      </w:r>
      <w:r>
        <w:rPr>
          <w:color w:val="1a1a1a"/>
          <w:sz w:val="21"/>
          <w:szCs w:val="21"/>
        </w:rPr>
        <w:t xml:space="preserve">ECTA gives a consumer a cooling-off right on electronic transactions, with exceptions — and digital content that has already been supplied is one of the areas where the position is not simple. Get this checked rather than assumed.</w:t>
      </w:r>
    </w:p>
    <w:p>
      <w:pPr>
        <w:pStyle w:val="ListParagraph"/>
        <w:numPr>
          <w:ilvl w:val="0"/>
          <w:numId w:val="3"/>
        </w:numPr>
        <w:spacing w:after="90" w:line="276"/>
      </w:pPr>
      <w:r>
        <w:rPr>
          <w:b/>
          <w:bCs/>
          <w:color w:val="1a1a1a"/>
          <w:sz w:val="21"/>
          <w:szCs w:val="21"/>
        </w:rPr>
        <w:t xml:space="preserve">Cancelling a subscription. </w:t>
      </w:r>
      <w:r>
        <w:rPr>
          <w:color w:val="1a1a1a"/>
          <w:sz w:val="21"/>
          <w:szCs w:val="21"/>
        </w:rPr>
        <w:t xml:space="preserve">The Consumer Protection Act constrains how a fixed-term agreement can be ended and what you may charge. A month-to-month subscription that stops at the end of the paid month, with the cancel button in the app, is the simplest thing to defend — which is what FutureBox does.</w:t>
      </w:r>
    </w:p>
    <w:p>
      <w:pPr>
        <w:pStyle w:val="ListParagraph"/>
        <w:numPr>
          <w:ilvl w:val="0"/>
          <w:numId w:val="3"/>
        </w:numPr>
        <w:spacing w:after="90" w:line="276"/>
      </w:pPr>
      <w:r>
        <w:rPr>
          <w:b/>
          <w:bCs/>
          <w:color w:val="1a1a1a"/>
          <w:sz w:val="21"/>
          <w:szCs w:val="21"/>
        </w:rPr>
        <w:t xml:space="preserve">Say what a refund is. </w:t>
      </w:r>
      <w:r>
        <w:rPr>
          <w:color w:val="1a1a1a"/>
          <w:sz w:val="21"/>
          <w:szCs w:val="21"/>
        </w:rPr>
        <w:t xml:space="preserve">The terms should say plainly what happens to unused credits when somebody cancels. Silence is read against the drafter.</w:t>
      </w:r>
    </w:p>
    <w:p>
      <w:pPr>
        <w:pStyle w:val="Heading2"/>
        <w:spacing w:after="140" w:before="280"/>
      </w:pPr>
      <w:r>
        <w:rPr>
          <w:b/>
          <w:bCs/>
          <w:color w:val="1a1a1a"/>
          <w:sz w:val="25"/>
          <w:szCs w:val="25"/>
        </w:rPr>
        <w:t xml:space="preserve">2.4  The other things a business like this needs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400"/>
        <w:gridCol w:w="4400"/>
        <w:gridCol w:w="2226"/>
      </w:tblGrid>
      <w:tr>
        <w:trPr>
          <w:cantSplit/>
          <w:tblHeader/>
        </w:trPr>
        <w:tc>
          <w:tcPr>
            <w:tcW w:type="dxa" w:w="2400"/>
            <w:shd w:fill="f3f4f6" w:color="auto" w:val="clear"/>
            <w:tcMar>
              <w:top w:type="dxa" w:w="90"/>
              <w:left w:type="dxa" w:w="120"/>
              <w:bottom w:type="dxa" w:w="90"/>
              <w:right w:type="dxa" w:w="120"/>
            </w:tcMar>
          </w:tcPr>
          <w:p>
            <w:pPr>
              <w:spacing w:after="0" w:line="260"/>
            </w:pPr>
            <w:r>
              <w:rPr>
                <w:b/>
                <w:bCs/>
                <w:color w:val="1a1a1a"/>
                <w:sz w:val="19"/>
                <w:szCs w:val="19"/>
              </w:rPr>
              <w:t xml:space="preserve">Thing</w:t>
            </w:r>
          </w:p>
        </w:tc>
        <w:tc>
          <w:tcPr>
            <w:tcW w:type="dxa" w:w="4400"/>
            <w:shd w:fill="f3f4f6" w:color="auto" w:val="clear"/>
            <w:tcMar>
              <w:top w:type="dxa" w:w="90"/>
              <w:left w:type="dxa" w:w="120"/>
              <w:bottom w:type="dxa" w:w="90"/>
              <w:right w:type="dxa" w:w="120"/>
            </w:tcMar>
          </w:tcPr>
          <w:p>
            <w:pPr>
              <w:spacing w:after="0" w:line="260"/>
            </w:pPr>
            <w:r>
              <w:rPr>
                <w:b/>
                <w:bCs/>
                <w:color w:val="1a1a1a"/>
                <w:sz w:val="19"/>
                <w:szCs w:val="19"/>
              </w:rPr>
              <w:t xml:space="preserve">Why</w:t>
            </w:r>
          </w:p>
        </w:tc>
        <w:tc>
          <w:tcPr>
            <w:tcW w:type="dxa" w:w="2226"/>
            <w:shd w:fill="f3f4f6" w:color="auto" w:val="clear"/>
            <w:tcMar>
              <w:top w:type="dxa" w:w="90"/>
              <w:left w:type="dxa" w:w="120"/>
              <w:bottom w:type="dxa" w:w="90"/>
              <w:right w:type="dxa" w:w="120"/>
            </w:tcMar>
          </w:tcPr>
          <w:p>
            <w:pPr>
              <w:spacing w:after="0" w:line="260"/>
            </w:pPr>
            <w:r>
              <w:rPr>
                <w:b/>
                <w:bCs/>
                <w:color w:val="1a1a1a"/>
                <w:sz w:val="19"/>
                <w:szCs w:val="19"/>
              </w:rPr>
              <w:t xml:space="preserve">Priority</w:t>
            </w:r>
          </w:p>
        </w:tc>
      </w:tr>
      <w:tr>
        <w:trPr>
          <w:cantSplit/>
        </w:trPr>
        <w:tc>
          <w:tcPr>
            <w:tcW w:type="dxa" w:w="2400"/>
            <w:shd w:fill="ffffff" w:color="auto" w:val="clear"/>
            <w:tcMar>
              <w:top w:type="dxa" w:w="90"/>
              <w:left w:type="dxa" w:w="120"/>
              <w:bottom w:type="dxa" w:w="90"/>
              <w:right w:type="dxa" w:w="120"/>
            </w:tcMar>
          </w:tcPr>
          <w:p>
            <w:pPr>
              <w:spacing w:after="0" w:line="260"/>
            </w:pPr>
            <w:r>
              <w:rPr>
                <w:color w:val="1a1a1a"/>
                <w:sz w:val="19"/>
                <w:szCs w:val="19"/>
              </w:rPr>
              <w:t xml:space="preserve">Company email on your own domain</w:t>
            </w:r>
          </w:p>
        </w:tc>
        <w:tc>
          <w:tcPr>
            <w:tcW w:type="dxa" w:w="4400"/>
            <w:shd w:fill="ffffff" w:color="auto" w:val="clear"/>
            <w:tcMar>
              <w:top w:type="dxa" w:w="90"/>
              <w:left w:type="dxa" w:w="120"/>
              <w:bottom w:type="dxa" w:w="90"/>
              <w:right w:type="dxa" w:w="120"/>
            </w:tcMar>
          </w:tcPr>
          <w:p>
            <w:pPr>
              <w:spacing w:after="0" w:line="260"/>
            </w:pPr>
            <w:r>
              <w:rPr>
                <w:color w:val="1a1a1a"/>
                <w:sz w:val="19"/>
                <w:szCs w:val="19"/>
              </w:rPr>
              <w:t xml:space="preserve">ECTA disclosure, Paystack correspondence, and Apple and Google both write to a domain address. A gmail address on a store listing reads as a hobby.</w:t>
            </w:r>
          </w:p>
        </w:tc>
        <w:tc>
          <w:tcPr>
            <w:tcW w:type="dxa" w:w="2226"/>
            <w:shd w:fill="ffffff" w:color="auto" w:val="clear"/>
            <w:tcMar>
              <w:top w:type="dxa" w:w="90"/>
              <w:left w:type="dxa" w:w="120"/>
              <w:bottom w:type="dxa" w:w="90"/>
              <w:right w:type="dxa" w:w="120"/>
            </w:tcMar>
          </w:tcPr>
          <w:p>
            <w:pPr>
              <w:spacing w:after="0" w:line="260"/>
            </w:pPr>
            <w:r>
              <w:rPr>
                <w:color w:val="1a1a1a"/>
                <w:sz w:val="19"/>
                <w:szCs w:val="19"/>
              </w:rPr>
              <w:t xml:space="preserve">Do it with the domain</w:t>
            </w:r>
          </w:p>
        </w:tc>
      </w:tr>
      <w:tr>
        <w:trPr>
          <w:cantSplit/>
        </w:trPr>
        <w:tc>
          <w:tcPr>
            <w:tcW w:type="dxa" w:w="2400"/>
            <w:shd w:fill="ffffff" w:color="auto" w:val="clear"/>
            <w:tcMar>
              <w:top w:type="dxa" w:w="90"/>
              <w:left w:type="dxa" w:w="120"/>
              <w:bottom w:type="dxa" w:w="90"/>
              <w:right w:type="dxa" w:w="120"/>
            </w:tcMar>
          </w:tcPr>
          <w:p>
            <w:pPr>
              <w:spacing w:after="0" w:line="260"/>
            </w:pPr>
            <w:r>
              <w:rPr>
                <w:color w:val="1a1a1a"/>
                <w:sz w:val="19"/>
                <w:szCs w:val="19"/>
              </w:rPr>
              <w:t xml:space="preserve">Written agreements with any collaborator</w:t>
            </w:r>
          </w:p>
        </w:tc>
        <w:tc>
          <w:tcPr>
            <w:tcW w:type="dxa" w:w="4400"/>
            <w:shd w:fill="ffffff" w:color="auto" w:val="clear"/>
            <w:tcMar>
              <w:top w:type="dxa" w:w="90"/>
              <w:left w:type="dxa" w:w="120"/>
              <w:bottom w:type="dxa" w:w="90"/>
              <w:right w:type="dxa" w:w="120"/>
            </w:tcMar>
          </w:tcPr>
          <w:p>
            <w:pPr>
              <w:spacing w:after="0" w:line="260"/>
            </w:pPr>
            <w:r>
              <w:rPr>
                <w:color w:val="1a1a1a"/>
                <w:sz w:val="19"/>
                <w:szCs w:val="19"/>
              </w:rPr>
              <w:t xml:space="preserve">Whoever writes code owns the copyright in it unless there is a contract saying otherwise. This includes a friend who helped.</w:t>
            </w:r>
          </w:p>
        </w:tc>
        <w:tc>
          <w:tcPr>
            <w:tcW w:type="dxa" w:w="2226"/>
            <w:shd w:fill="ffffff" w:color="auto" w:val="clear"/>
            <w:tcMar>
              <w:top w:type="dxa" w:w="90"/>
              <w:left w:type="dxa" w:w="120"/>
              <w:bottom w:type="dxa" w:w="90"/>
              <w:right w:type="dxa" w:w="120"/>
            </w:tcMar>
          </w:tcPr>
          <w:p>
            <w:pPr>
              <w:spacing w:after="0" w:line="260"/>
            </w:pPr>
            <w:r>
              <w:rPr>
                <w:color w:val="1a1a1a"/>
                <w:sz w:val="19"/>
                <w:szCs w:val="19"/>
              </w:rPr>
              <w:t xml:space="preserve">Before anyone else touches it</w:t>
            </w:r>
          </w:p>
        </w:tc>
      </w:tr>
      <w:tr>
        <w:trPr>
          <w:cantSplit/>
        </w:trPr>
        <w:tc>
          <w:tcPr>
            <w:tcW w:type="dxa" w:w="2400"/>
            <w:shd w:fill="ffffff" w:color="auto" w:val="clear"/>
            <w:tcMar>
              <w:top w:type="dxa" w:w="90"/>
              <w:left w:type="dxa" w:w="120"/>
              <w:bottom w:type="dxa" w:w="90"/>
              <w:right w:type="dxa" w:w="120"/>
            </w:tcMar>
          </w:tcPr>
          <w:p>
            <w:pPr>
              <w:spacing w:after="0" w:line="260"/>
            </w:pPr>
            <w:r>
              <w:rPr>
                <w:color w:val="1a1a1a"/>
                <w:sz w:val="19"/>
                <w:szCs w:val="19"/>
              </w:rPr>
              <w:t xml:space="preserve">Professional indemnity / cyber cover</w:t>
            </w:r>
          </w:p>
        </w:tc>
        <w:tc>
          <w:tcPr>
            <w:tcW w:type="dxa" w:w="4400"/>
            <w:shd w:fill="ffffff" w:color="auto" w:val="clear"/>
            <w:tcMar>
              <w:top w:type="dxa" w:w="90"/>
              <w:left w:type="dxa" w:w="120"/>
              <w:bottom w:type="dxa" w:w="90"/>
              <w:right w:type="dxa" w:w="120"/>
            </w:tcMar>
          </w:tcPr>
          <w:p>
            <w:pPr>
              <w:spacing w:after="0" w:line="260"/>
            </w:pPr>
            <w:r>
              <w:rPr>
                <w:color w:val="1a1a1a"/>
                <w:sz w:val="19"/>
                <w:szCs w:val="19"/>
              </w:rPr>
              <w:t xml:space="preserve">Not compulsory. Worth a quote once there is revenue, because you hold voice recordings and payment relationships.</w:t>
            </w:r>
          </w:p>
        </w:tc>
        <w:tc>
          <w:tcPr>
            <w:tcW w:type="dxa" w:w="2226"/>
            <w:shd w:fill="ffffff" w:color="auto" w:val="clear"/>
            <w:tcMar>
              <w:top w:type="dxa" w:w="90"/>
              <w:left w:type="dxa" w:w="120"/>
              <w:bottom w:type="dxa" w:w="90"/>
              <w:right w:type="dxa" w:w="120"/>
            </w:tcMar>
          </w:tcPr>
          <w:p>
            <w:pPr>
              <w:spacing w:after="0" w:line="260"/>
            </w:pPr>
            <w:r>
              <w:rPr>
                <w:color w:val="1a1a1a"/>
                <w:sz w:val="19"/>
                <w:szCs w:val="19"/>
              </w:rPr>
              <w:t xml:space="preserve">Once trading</w:t>
            </w:r>
          </w:p>
        </w:tc>
      </w:tr>
      <w:tr>
        <w:trPr>
          <w:cantSplit/>
        </w:trPr>
        <w:tc>
          <w:tcPr>
            <w:tcW w:type="dxa" w:w="2400"/>
            <w:shd w:fill="ffffff" w:color="auto" w:val="clear"/>
            <w:tcMar>
              <w:top w:type="dxa" w:w="90"/>
              <w:left w:type="dxa" w:w="120"/>
              <w:bottom w:type="dxa" w:w="90"/>
              <w:right w:type="dxa" w:w="120"/>
            </w:tcMar>
          </w:tcPr>
          <w:p>
            <w:pPr>
              <w:spacing w:after="0" w:line="260"/>
            </w:pPr>
            <w:r>
              <w:rPr>
                <w:color w:val="1a1a1a"/>
                <w:sz w:val="19"/>
                <w:szCs w:val="19"/>
              </w:rPr>
              <w:t xml:space="preserve">B-BBEE affidavit</w:t>
            </w:r>
          </w:p>
        </w:tc>
        <w:tc>
          <w:tcPr>
            <w:tcW w:type="dxa" w:w="4400"/>
            <w:shd w:fill="ffffff" w:color="auto" w:val="clear"/>
            <w:tcMar>
              <w:top w:type="dxa" w:w="90"/>
              <w:left w:type="dxa" w:w="120"/>
              <w:bottom w:type="dxa" w:w="90"/>
              <w:right w:type="dxa" w:w="120"/>
            </w:tcMar>
          </w:tcPr>
          <w:p>
            <w:pPr>
              <w:spacing w:after="0" w:line="260"/>
            </w:pPr>
            <w:r>
              <w:rPr>
                <w:color w:val="1a1a1a"/>
                <w:sz w:val="19"/>
                <w:szCs w:val="19"/>
              </w:rPr>
              <w:t xml:space="preserve">Free sworn affidavit for an Exempted Micro Enterprise under R10 million turnover (verify). Some corporate customers ask for it before they will buy.</w:t>
            </w:r>
          </w:p>
        </w:tc>
        <w:tc>
          <w:tcPr>
            <w:tcW w:type="dxa" w:w="2226"/>
            <w:shd w:fill="ffffff" w:color="auto" w:val="clear"/>
            <w:tcMar>
              <w:top w:type="dxa" w:w="90"/>
              <w:left w:type="dxa" w:w="120"/>
              <w:bottom w:type="dxa" w:w="90"/>
              <w:right w:type="dxa" w:w="120"/>
            </w:tcMar>
          </w:tcPr>
          <w:p>
            <w:pPr>
              <w:spacing w:after="0" w:line="260"/>
            </w:pPr>
            <w:r>
              <w:rPr>
                <w:color w:val="1a1a1a"/>
                <w:sz w:val="19"/>
                <w:szCs w:val="19"/>
              </w:rPr>
              <w:t xml:space="preserve">When a customer asks</w:t>
            </w:r>
          </w:p>
        </w:tc>
      </w:tr>
    </w:tbl>
    <w:p>
      <w:pPr>
        <w:pStyle w:val="Heading1"/>
        <w:pageBreakBefore/>
        <w:spacing w:after="180" w:before="360"/>
      </w:pPr>
      <w:r>
        <w:rPr>
          <w:b/>
          <w:bCs/>
          <w:color w:val="1a1a1a"/>
          <w:sz w:val="32"/>
          <w:szCs w:val="32"/>
        </w:rPr>
        <w:t xml:space="preserve">Part 3 — The app stores</w:t>
      </w:r>
    </w:p>
    <w:p>
      <w:pPr>
        <w:pStyle w:val="Heading2"/>
        <w:spacing w:after="140" w:before="280"/>
      </w:pPr>
      <w:r>
        <w:rPr>
          <w:b/>
          <w:bCs/>
          <w:color w:val="1a1a1a"/>
          <w:sz w:val="25"/>
          <w:szCs w:val="25"/>
        </w:rPr>
        <w:t xml:space="preserve">3.1  What you actually have today</w:t>
      </w:r>
    </w:p>
    <w:tbl>
      <w:tblPr>
        <w:tblW w:type="dxa" w:w="9026"/>
        <w:tblBorders>
          <w:top w:val="single" w:color="d97706" w:sz="2"/>
          <w:left w:val="single" w:color="d97706" w:sz="12"/>
          <w:bottom w:val="single" w:color="d97706" w:sz="2"/>
          <w:right w:val="single" w:color="d97706" w:sz="2"/>
          <w:insideH w:val="none" w:color="auto" w:sz="0"/>
          <w:insideV w:val="none" w:color="auto" w:sz="0"/>
        </w:tblBorders>
      </w:tblPr>
      <w:tblGrid>
        <w:gridCol w:w="9026"/>
      </w:tblGrid>
      <w:tr>
        <w:trPr>
          <w:cantSplit/>
        </w:trPr>
        <w:tc>
          <w:tcPr>
            <w:tcW w:type="dxa" w:w="9026"/>
            <w:shd w:fill="fef3c7" w:color="auto" w:val="clear"/>
            <w:tcMar>
              <w:top w:type="dxa" w:w="160"/>
              <w:left w:type="dxa" w:w="200"/>
              <w:bottom w:type="dxa" w:w="160"/>
              <w:right w:type="dxa" w:w="200"/>
            </w:tcMar>
          </w:tcPr>
          <w:p>
            <w:pPr>
              <w:spacing w:after="80"/>
            </w:pPr>
            <w:r>
              <w:rPr>
                <w:b/>
                <w:bCs/>
                <w:color w:val="d97706"/>
                <w:sz w:val="21"/>
                <w:szCs w:val="21"/>
              </w:rPr>
              <w:t xml:space="preserve">There is no mobile app to submit</w:t>
            </w:r>
          </w:p>
          <w:p>
            <w:pPr>
              <w:spacing w:after="60" w:line="276"/>
            </w:pPr>
            <w:r>
              <w:rPr>
                <w:color w:val="1a1a1a"/>
                <w:sz w:val="20"/>
                <w:szCs w:val="20"/>
              </w:rPr>
              <w:t xml:space="preserve">FutureBox is a Next.js website. It has a web app manifest and icons, which means a phone will offer to add it to the home screen and it will open without browser furniture — a Progressive Web App. That is genuinely useful and it is free.</w:t>
            </w:r>
          </w:p>
          <w:p>
            <w:pPr>
              <w:spacing w:after="60" w:line="276"/>
            </w:pPr>
            <w:r>
              <w:rPr>
                <w:color w:val="1a1a1a"/>
                <w:sz w:val="20"/>
                <w:szCs w:val="20"/>
              </w:rPr>
              <w:t xml:space="preserve">It is not something either store will accept as it stands, because neither store accepts a URL. Something has to be built and submitted. The next section is the choice, and it is worth making before spending money on developer accounts.</w:t>
            </w:r>
          </w:p>
        </w:tc>
      </w:tr>
    </w:tbl>
    <w:p>
      <w:pPr>
        <w:pStyle w:val="Heading2"/>
        <w:spacing w:after="140" w:before="280"/>
      </w:pPr>
      <w:r>
        <w:rPr>
          <w:b/>
          <w:bCs/>
          <w:color w:val="1a1a1a"/>
          <w:sz w:val="25"/>
          <w:szCs w:val="25"/>
        </w:rPr>
        <w:t xml:space="preserve">3.2  Three routes to being in a store</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1900"/>
        <w:gridCol w:w="3800"/>
        <w:gridCol w:w="1700"/>
        <w:gridCol w:w="1626"/>
      </w:tblGrid>
      <w:tr>
        <w:trPr>
          <w:cantSplit/>
          <w:tblHeader/>
        </w:trPr>
        <w:tc>
          <w:tcPr>
            <w:tcW w:type="dxa" w:w="1900"/>
            <w:shd w:fill="f3f4f6" w:color="auto" w:val="clear"/>
            <w:tcMar>
              <w:top w:type="dxa" w:w="90"/>
              <w:left w:type="dxa" w:w="120"/>
              <w:bottom w:type="dxa" w:w="90"/>
              <w:right w:type="dxa" w:w="120"/>
            </w:tcMar>
          </w:tcPr>
          <w:p>
            <w:pPr>
              <w:spacing w:after="0" w:line="260"/>
            </w:pPr>
            <w:r>
              <w:rPr>
                <w:b/>
                <w:bCs/>
                <w:color w:val="1a1a1a"/>
                <w:sz w:val="19"/>
                <w:szCs w:val="19"/>
              </w:rPr>
              <w:t xml:space="preserve">Route</w:t>
            </w:r>
          </w:p>
        </w:tc>
        <w:tc>
          <w:tcPr>
            <w:tcW w:type="dxa" w:w="3800"/>
            <w:shd w:fill="f3f4f6" w:color="auto" w:val="clear"/>
            <w:tcMar>
              <w:top w:type="dxa" w:w="90"/>
              <w:left w:type="dxa" w:w="120"/>
              <w:bottom w:type="dxa" w:w="90"/>
              <w:right w:type="dxa" w:w="120"/>
            </w:tcMar>
          </w:tcPr>
          <w:p>
            <w:pPr>
              <w:spacing w:after="0" w:line="260"/>
            </w:pPr>
            <w:r>
              <w:rPr>
                <w:b/>
                <w:bCs/>
                <w:color w:val="1a1a1a"/>
                <w:sz w:val="19"/>
                <w:szCs w:val="19"/>
              </w:rPr>
              <w:t xml:space="preserve">What it is</w:t>
            </w:r>
          </w:p>
        </w:tc>
        <w:tc>
          <w:tcPr>
            <w:tcW w:type="dxa" w:w="1700"/>
            <w:shd w:fill="f3f4f6" w:color="auto" w:val="clear"/>
            <w:tcMar>
              <w:top w:type="dxa" w:w="90"/>
              <w:left w:type="dxa" w:w="120"/>
              <w:bottom w:type="dxa" w:w="90"/>
              <w:right w:type="dxa" w:w="120"/>
            </w:tcMar>
          </w:tcPr>
          <w:p>
            <w:pPr>
              <w:spacing w:after="0" w:line="260"/>
            </w:pPr>
            <w:r>
              <w:rPr>
                <w:b/>
                <w:bCs/>
                <w:color w:val="1a1a1a"/>
                <w:sz w:val="19"/>
                <w:szCs w:val="19"/>
              </w:rPr>
              <w:t xml:space="preserve">Google Play</w:t>
            </w:r>
          </w:p>
        </w:tc>
        <w:tc>
          <w:tcPr>
            <w:tcW w:type="dxa" w:w="1626"/>
            <w:shd w:fill="f3f4f6" w:color="auto" w:val="clear"/>
            <w:tcMar>
              <w:top w:type="dxa" w:w="90"/>
              <w:left w:type="dxa" w:w="120"/>
              <w:bottom w:type="dxa" w:w="90"/>
              <w:right w:type="dxa" w:w="120"/>
            </w:tcMar>
          </w:tcPr>
          <w:p>
            <w:pPr>
              <w:spacing w:after="0" w:line="260"/>
            </w:pPr>
            <w:r>
              <w:rPr>
                <w:b/>
                <w:bCs/>
                <w:color w:val="1a1a1a"/>
                <w:sz w:val="19"/>
                <w:szCs w:val="19"/>
              </w:rPr>
              <w:t xml:space="preserve">Apple App Store</w:t>
            </w:r>
          </w:p>
        </w:tc>
      </w:tr>
      <w:tr>
        <w:trPr>
          <w:cantSplit/>
        </w:trPr>
        <w:tc>
          <w:tcPr>
            <w:tcW w:type="dxa" w:w="1900"/>
            <w:shd w:fill="ffffff" w:color="auto" w:val="clear"/>
            <w:tcMar>
              <w:top w:type="dxa" w:w="90"/>
              <w:left w:type="dxa" w:w="120"/>
              <w:bottom w:type="dxa" w:w="90"/>
              <w:right w:type="dxa" w:w="120"/>
            </w:tcMar>
          </w:tcPr>
          <w:p>
            <w:pPr>
              <w:spacing w:after="0" w:line="260"/>
            </w:pPr>
            <w:r>
              <w:rPr>
                <w:color w:val="1a1a1a"/>
                <w:sz w:val="19"/>
                <w:szCs w:val="19"/>
              </w:rPr>
              <w:t xml:space="preserve">A. Leave it as a PWA</w:t>
            </w:r>
          </w:p>
        </w:tc>
        <w:tc>
          <w:tcPr>
            <w:tcW w:type="dxa" w:w="3800"/>
            <w:shd w:fill="ffffff" w:color="auto" w:val="clear"/>
            <w:tcMar>
              <w:top w:type="dxa" w:w="90"/>
              <w:left w:type="dxa" w:w="120"/>
              <w:bottom w:type="dxa" w:w="90"/>
              <w:right w:type="dxa" w:w="120"/>
            </w:tcMar>
          </w:tcPr>
          <w:p>
            <w:pPr>
              <w:spacing w:after="0" w:line="260"/>
            </w:pPr>
            <w:r>
              <w:rPr>
                <w:color w:val="1a1a1a"/>
                <w:sz w:val="19"/>
                <w:szCs w:val="19"/>
              </w:rPr>
              <w:t xml:space="preserve">People add it to their home screen from the browser. No store, no fees, no review, ships today.</w:t>
            </w:r>
          </w:p>
        </w:tc>
        <w:tc>
          <w:tcPr>
            <w:tcW w:type="dxa" w:w="1700"/>
            <w:shd w:fill="ffffff" w:color="auto" w:val="clear"/>
            <w:tcMar>
              <w:top w:type="dxa" w:w="90"/>
              <w:left w:type="dxa" w:w="120"/>
              <w:bottom w:type="dxa" w:w="90"/>
              <w:right w:type="dxa" w:w="120"/>
            </w:tcMar>
          </w:tcPr>
          <w:p>
            <w:pPr>
              <w:spacing w:after="0" w:line="260"/>
            </w:pPr>
            <w:r>
              <w:rPr>
                <w:color w:val="1a1a1a"/>
                <w:sz w:val="19"/>
                <w:szCs w:val="19"/>
              </w:rPr>
              <w:t xml:space="preserve">Not listed</w:t>
            </w:r>
          </w:p>
        </w:tc>
        <w:tc>
          <w:tcPr>
            <w:tcW w:type="dxa" w:w="1626"/>
            <w:shd w:fill="ffffff" w:color="auto" w:val="clear"/>
            <w:tcMar>
              <w:top w:type="dxa" w:w="90"/>
              <w:left w:type="dxa" w:w="120"/>
              <w:bottom w:type="dxa" w:w="90"/>
              <w:right w:type="dxa" w:w="120"/>
            </w:tcMar>
          </w:tcPr>
          <w:p>
            <w:pPr>
              <w:spacing w:after="0" w:line="260"/>
            </w:pPr>
            <w:r>
              <w:rPr>
                <w:color w:val="1a1a1a"/>
                <w:sz w:val="19"/>
                <w:szCs w:val="19"/>
              </w:rPr>
              <w:t xml:space="preserve">Not listed</w:t>
            </w:r>
          </w:p>
        </w:tc>
      </w:tr>
      <w:tr>
        <w:trPr>
          <w:cantSplit/>
        </w:trPr>
        <w:tc>
          <w:tcPr>
            <w:tcW w:type="dxa" w:w="1900"/>
            <w:shd w:fill="ffffff" w:color="auto" w:val="clear"/>
            <w:tcMar>
              <w:top w:type="dxa" w:w="90"/>
              <w:left w:type="dxa" w:w="120"/>
              <w:bottom w:type="dxa" w:w="90"/>
              <w:right w:type="dxa" w:w="120"/>
            </w:tcMar>
          </w:tcPr>
          <w:p>
            <w:pPr>
              <w:spacing w:after="0" w:line="260"/>
            </w:pPr>
            <w:r>
              <w:rPr>
                <w:color w:val="1a1a1a"/>
                <w:sz w:val="19"/>
                <w:szCs w:val="19"/>
              </w:rPr>
              <w:t xml:space="preserve">B. Wrap the website</w:t>
            </w:r>
          </w:p>
        </w:tc>
        <w:tc>
          <w:tcPr>
            <w:tcW w:type="dxa" w:w="3800"/>
            <w:shd w:fill="ffffff" w:color="auto" w:val="clear"/>
            <w:tcMar>
              <w:top w:type="dxa" w:w="90"/>
              <w:left w:type="dxa" w:w="120"/>
              <w:bottom w:type="dxa" w:w="90"/>
              <w:right w:type="dxa" w:w="120"/>
            </w:tcMar>
          </w:tcPr>
          <w:p>
            <w:pPr>
              <w:spacing w:after="0" w:line="260"/>
            </w:pPr>
            <w:r>
              <w:rPr>
                <w:color w:val="1a1a1a"/>
                <w:sz w:val="19"/>
                <w:szCs w:val="19"/>
              </w:rPr>
              <w:t xml:space="preserve">A thin native shell around the site. On Android this is a Trusted Web Activity, generated by Bubblewrap or PWABuilder in an afternoon.</w:t>
            </w:r>
          </w:p>
        </w:tc>
        <w:tc>
          <w:tcPr>
            <w:tcW w:type="dxa" w:w="1700"/>
            <w:shd w:fill="ffffff" w:color="auto" w:val="clear"/>
            <w:tcMar>
              <w:top w:type="dxa" w:w="90"/>
              <w:left w:type="dxa" w:w="120"/>
              <w:bottom w:type="dxa" w:w="90"/>
              <w:right w:type="dxa" w:w="120"/>
            </w:tcMar>
          </w:tcPr>
          <w:p>
            <w:pPr>
              <w:spacing w:after="0" w:line="260"/>
            </w:pPr>
            <w:r>
              <w:rPr>
                <w:color w:val="1a1a1a"/>
                <w:sz w:val="19"/>
                <w:szCs w:val="19"/>
              </w:rPr>
              <w:t xml:space="preserve">Accepted, and common</w:t>
            </w:r>
          </w:p>
        </w:tc>
        <w:tc>
          <w:tcPr>
            <w:tcW w:type="dxa" w:w="1626"/>
            <w:shd w:fill="ffffff" w:color="auto" w:val="clear"/>
            <w:tcMar>
              <w:top w:type="dxa" w:w="90"/>
              <w:left w:type="dxa" w:w="120"/>
              <w:bottom w:type="dxa" w:w="90"/>
              <w:right w:type="dxa" w:w="120"/>
            </w:tcMar>
          </w:tcPr>
          <w:p>
            <w:pPr>
              <w:spacing w:after="0" w:line="260"/>
            </w:pPr>
            <w:r>
              <w:rPr>
                <w:color w:val="1a1a1a"/>
                <w:sz w:val="19"/>
                <w:szCs w:val="19"/>
              </w:rPr>
              <w:t xml:space="preserve">Very likely rejected</w:t>
            </w:r>
          </w:p>
        </w:tc>
      </w:tr>
      <w:tr>
        <w:trPr>
          <w:cantSplit/>
        </w:trPr>
        <w:tc>
          <w:tcPr>
            <w:tcW w:type="dxa" w:w="1900"/>
            <w:shd w:fill="ffffff" w:color="auto" w:val="clear"/>
            <w:tcMar>
              <w:top w:type="dxa" w:w="90"/>
              <w:left w:type="dxa" w:w="120"/>
              <w:bottom w:type="dxa" w:w="90"/>
              <w:right w:type="dxa" w:w="120"/>
            </w:tcMar>
          </w:tcPr>
          <w:p>
            <w:pPr>
              <w:spacing w:after="0" w:line="260"/>
            </w:pPr>
            <w:r>
              <w:rPr>
                <w:color w:val="1a1a1a"/>
                <w:sz w:val="19"/>
                <w:szCs w:val="19"/>
              </w:rPr>
              <w:t xml:space="preserve">C. Build a real app</w:t>
            </w:r>
          </w:p>
        </w:tc>
        <w:tc>
          <w:tcPr>
            <w:tcW w:type="dxa" w:w="3800"/>
            <w:shd w:fill="ffffff" w:color="auto" w:val="clear"/>
            <w:tcMar>
              <w:top w:type="dxa" w:w="90"/>
              <w:left w:type="dxa" w:w="120"/>
              <w:bottom w:type="dxa" w:w="90"/>
              <w:right w:type="dxa" w:w="120"/>
            </w:tcMar>
          </w:tcPr>
          <w:p>
            <w:pPr>
              <w:spacing w:after="0" w:line="260"/>
            </w:pPr>
            <w:r>
              <w:rPr>
                <w:color w:val="1a1a1a"/>
                <w:sz w:val="19"/>
                <w:szCs w:val="19"/>
              </w:rPr>
              <w:t xml:space="preserve">React Native / Expo or Capacitor, sharing your business logic but with native screens and native features.</w:t>
            </w:r>
          </w:p>
        </w:tc>
        <w:tc>
          <w:tcPr>
            <w:tcW w:type="dxa" w:w="1700"/>
            <w:shd w:fill="ffffff" w:color="auto" w:val="clear"/>
            <w:tcMar>
              <w:top w:type="dxa" w:w="90"/>
              <w:left w:type="dxa" w:w="120"/>
              <w:bottom w:type="dxa" w:w="90"/>
              <w:right w:type="dxa" w:w="120"/>
            </w:tcMar>
          </w:tcPr>
          <w:p>
            <w:pPr>
              <w:spacing w:after="0" w:line="260"/>
            </w:pPr>
            <w:r>
              <w:rPr>
                <w:color w:val="1a1a1a"/>
                <w:sz w:val="19"/>
                <w:szCs w:val="19"/>
              </w:rPr>
              <w:t xml:space="preserve">Accepted</w:t>
            </w:r>
          </w:p>
        </w:tc>
        <w:tc>
          <w:tcPr>
            <w:tcW w:type="dxa" w:w="1626"/>
            <w:shd w:fill="ffffff" w:color="auto" w:val="clear"/>
            <w:tcMar>
              <w:top w:type="dxa" w:w="90"/>
              <w:left w:type="dxa" w:w="120"/>
              <w:bottom w:type="dxa" w:w="90"/>
              <w:right w:type="dxa" w:w="120"/>
            </w:tcMar>
          </w:tcPr>
          <w:p>
            <w:pPr>
              <w:spacing w:after="0" w:line="260"/>
            </w:pPr>
            <w:r>
              <w:rPr>
                <w:color w:val="1a1a1a"/>
                <w:sz w:val="19"/>
                <w:szCs w:val="19"/>
              </w:rPr>
              <w:t xml:space="preserve">Accepted</w:t>
            </w:r>
          </w:p>
        </w:tc>
      </w:tr>
    </w:tbl>
    <w:p>
      <w:pPr>
        <w:spacing w:after="140" w:line="276"/>
      </w:pPr>
      <w:r>
        <w:rPr>
          <w:color w:val="1a1a1a"/>
          <w:sz w:val="21"/>
          <w:szCs w:val="21"/>
        </w:rPr>
        <w:t xml:space="preserve"/>
      </w:r>
    </w:p>
    <w:tbl>
      <w:tblPr>
        <w:tblW w:type="dxa" w:w="9026"/>
        <w:tblBorders>
          <w:top w:val="single" w:color="b91c1c" w:sz="2"/>
          <w:left w:val="single" w:color="b91c1c" w:sz="12"/>
          <w:bottom w:val="single" w:color="b91c1c" w:sz="2"/>
          <w:right w:val="single" w:color="b91c1c" w:sz="2"/>
          <w:insideH w:val="none" w:color="auto" w:sz="0"/>
          <w:insideV w:val="none" w:color="auto" w:sz="0"/>
        </w:tblBorders>
      </w:tblPr>
      <w:tblGrid>
        <w:gridCol w:w="9026"/>
      </w:tblGrid>
      <w:tr>
        <w:trPr>
          <w:cantSplit/>
        </w:trPr>
        <w:tc>
          <w:tcPr>
            <w:tcW w:type="dxa" w:w="9026"/>
            <w:shd w:fill="fee2e2" w:color="auto" w:val="clear"/>
            <w:tcMar>
              <w:top w:type="dxa" w:w="160"/>
              <w:left w:type="dxa" w:w="200"/>
              <w:bottom w:type="dxa" w:w="160"/>
              <w:right w:type="dxa" w:w="200"/>
            </w:tcMar>
          </w:tcPr>
          <w:p>
            <w:pPr>
              <w:spacing w:after="80"/>
            </w:pPr>
            <w:r>
              <w:rPr>
                <w:b/>
                <w:bCs/>
                <w:color w:val="b91c1c"/>
                <w:sz w:val="21"/>
                <w:szCs w:val="21"/>
              </w:rPr>
              <w:t xml:space="preserve">The rule that decides this — Apple Guideline 4.2</w:t>
            </w:r>
          </w:p>
          <w:p>
            <w:pPr>
              <w:spacing w:after="60" w:line="276"/>
            </w:pPr>
            <w:r>
              <w:rPr>
                <w:color w:val="1a1a1a"/>
                <w:sz w:val="20"/>
                <w:szCs w:val="20"/>
              </w:rPr>
              <w:t xml:space="preserve">Apple’s App Review guidelines require an app to have more functionality than a repackaged website. A wrapper whose whole content is your site is rejected under “Minimum Functionality”, and being rejected is not a one-time cost: it burns the review cycle and starts an argument.</w:t>
            </w:r>
          </w:p>
          <w:p>
            <w:pPr>
              <w:spacing w:after="60" w:line="276"/>
            </w:pPr>
            <w:r>
              <w:rPr>
                <w:color w:val="1a1a1a"/>
                <w:sz w:val="20"/>
                <w:szCs w:val="20"/>
              </w:rPr>
              <w:t xml:space="preserve">To pass, an iPhone app needs to do things a browser tab cannot. For FutureBox the honest candidates are the ones that suit it anyway: recording in the booth with proper microphone access, background audio while a render finishes, push notifications when a generation is done, saving to the camera roll, and the native share sheet.</w:t>
            </w:r>
          </w:p>
          <w:p>
            <w:pPr>
              <w:spacing w:after="60" w:line="276"/>
            </w:pPr>
            <w:r>
              <w:rPr>
                <w:color w:val="1a1a1a"/>
                <w:sz w:val="20"/>
                <w:szCs w:val="20"/>
              </w:rPr>
              <w:t xml:space="preserve">That is the real decision: Android can have a store listing cheaply this month, and an iPhone listing means building the recording and notification parts natively. Do not pay Apple $99 until you have decided to build that.</w:t>
            </w:r>
          </w:p>
        </w:tc>
      </w:tr>
    </w:tbl>
    <w:p>
      <w:pPr>
        <w:pStyle w:val="Heading2"/>
        <w:spacing w:after="140" w:before="280"/>
      </w:pPr>
      <w:r>
        <w:rPr>
          <w:b/>
          <w:bCs/>
          <w:color w:val="1a1a1a"/>
          <w:sz w:val="25"/>
          <w:szCs w:val="25"/>
        </w:rPr>
        <w:t xml:space="preserve">3.3  Google Play, step by step</w:t>
      </w:r>
    </w:p>
    <w:p>
      <w:pPr>
        <w:pStyle w:val="ListParagraph"/>
        <w:numPr>
          <w:ilvl w:val="0"/>
          <w:numId w:val="6"/>
        </w:numPr>
        <w:spacing w:after="100" w:line="276"/>
      </w:pPr>
      <w:r>
        <w:rPr>
          <w:b/>
          <w:bCs/>
          <w:color w:val="1a1a1a"/>
          <w:sz w:val="21"/>
          <w:szCs w:val="21"/>
        </w:rPr>
        <w:t xml:space="preserve">Create a Google Play developer account. </w:t>
      </w:r>
      <w:r>
        <w:rPr>
          <w:color w:val="1a1a1a"/>
          <w:sz w:val="21"/>
          <w:szCs w:val="21"/>
        </w:rPr>
        <w:t xml:space="preserve">One-off registration fee, around US$25 (verify). Choose an organisation account, not a personal one — it needs the company and keeps your name off the listing.</w:t>
      </w:r>
    </w:p>
    <w:p>
      <w:pPr>
        <w:pStyle w:val="ListParagraph"/>
        <w:numPr>
          <w:ilvl w:val="0"/>
          <w:numId w:val="6"/>
        </w:numPr>
        <w:spacing w:after="100" w:line="276"/>
      </w:pPr>
      <w:r>
        <w:rPr>
          <w:b/>
          <w:bCs/>
          <w:color w:val="1a1a1a"/>
          <w:sz w:val="21"/>
          <w:szCs w:val="21"/>
        </w:rPr>
        <w:t xml:space="preserve">Get a D-U-N-S number. </w:t>
      </w:r>
      <w:r>
        <w:rPr>
          <w:color w:val="1a1a1a"/>
          <w:sz w:val="21"/>
          <w:szCs w:val="21"/>
        </w:rPr>
        <w:t xml:space="preserve">Google requires one for organisation accounts. It is free from Dun &amp; Bradstreet and can take several business days, so start it early. You will need it again for Apple.</w:t>
      </w:r>
    </w:p>
    <w:p>
      <w:pPr>
        <w:pStyle w:val="ListParagraph"/>
        <w:numPr>
          <w:ilvl w:val="0"/>
          <w:numId w:val="6"/>
        </w:numPr>
        <w:spacing w:after="100" w:line="276"/>
      </w:pPr>
      <w:r>
        <w:rPr>
          <w:b/>
          <w:bCs/>
          <w:color w:val="1a1a1a"/>
          <w:sz w:val="21"/>
          <w:szCs w:val="21"/>
        </w:rPr>
        <w:t xml:space="preserve">Verify the organisation. </w:t>
      </w:r>
      <w:r>
        <w:rPr>
          <w:color w:val="1a1a1a"/>
          <w:sz w:val="21"/>
          <w:szCs w:val="21"/>
        </w:rPr>
        <w:t xml:space="preserve">Legal name, address, contact, and documents matching the CIPC registration. The name must match exactly.</w:t>
      </w:r>
    </w:p>
    <w:p>
      <w:pPr>
        <w:pStyle w:val="ListParagraph"/>
        <w:numPr>
          <w:ilvl w:val="0"/>
          <w:numId w:val="6"/>
        </w:numPr>
        <w:spacing w:after="100" w:line="276"/>
      </w:pPr>
      <w:r>
        <w:rPr>
          <w:b/>
          <w:bCs/>
          <w:color w:val="1a1a1a"/>
          <w:sz w:val="21"/>
          <w:szCs w:val="21"/>
        </w:rPr>
        <w:t xml:space="preserve">Build an Android App Bundle (.aab). </w:t>
      </w:r>
      <w:r>
        <w:rPr>
          <w:color w:val="1a1a1a"/>
          <w:sz w:val="21"/>
          <w:szCs w:val="21"/>
        </w:rPr>
        <w:t xml:space="preserve">Not an APK. Google signs the app; keep the upload key safe, because losing it is a long recovery.</w:t>
      </w:r>
    </w:p>
    <w:p>
      <w:pPr>
        <w:pStyle w:val="ListParagraph"/>
        <w:numPr>
          <w:ilvl w:val="0"/>
          <w:numId w:val="6"/>
        </w:numPr>
        <w:spacing w:after="100" w:line="276"/>
      </w:pPr>
      <w:r>
        <w:rPr>
          <w:b/>
          <w:bCs/>
          <w:color w:val="1a1a1a"/>
          <w:sz w:val="21"/>
          <w:szCs w:val="21"/>
        </w:rPr>
        <w:t xml:space="preserve">Fill in the Data safety form. </w:t>
      </w:r>
      <w:r>
        <w:rPr>
          <w:color w:val="1a1a1a"/>
          <w:sz w:val="21"/>
          <w:szCs w:val="21"/>
        </w:rPr>
        <w:t xml:space="preserve">A detailed declaration of what data the app collects, why, whether it is shared, and whether it is encrypted. Answer from what the code actually does, not from memory — your own privacy notice is the right source.</w:t>
      </w:r>
    </w:p>
    <w:p>
      <w:pPr>
        <w:pStyle w:val="ListParagraph"/>
        <w:numPr>
          <w:ilvl w:val="0"/>
          <w:numId w:val="6"/>
        </w:numPr>
        <w:spacing w:after="100" w:line="276"/>
      </w:pPr>
      <w:r>
        <w:rPr>
          <w:b/>
          <w:bCs/>
          <w:color w:val="1a1a1a"/>
          <w:sz w:val="21"/>
          <w:szCs w:val="21"/>
        </w:rPr>
        <w:t xml:space="preserve">Complete the content rating questionnaire, and give a privacy policy URL. </w:t>
      </w:r>
      <w:r>
        <w:rPr>
          <w:color w:val="1a1a1a"/>
          <w:sz w:val="21"/>
          <w:szCs w:val="21"/>
        </w:rPr>
        <w:t xml:space="preserve">Both are compulsory. The privacy URL must be publicly reachable without signing in.</w:t>
      </w:r>
    </w:p>
    <w:p>
      <w:pPr>
        <w:pStyle w:val="ListParagraph"/>
        <w:numPr>
          <w:ilvl w:val="0"/>
          <w:numId w:val="6"/>
        </w:numPr>
        <w:spacing w:after="100" w:line="276"/>
      </w:pPr>
      <w:r>
        <w:rPr>
          <w:b/>
          <w:bCs/>
          <w:color w:val="1a1a1a"/>
          <w:sz w:val="21"/>
          <w:szCs w:val="21"/>
        </w:rPr>
        <w:t xml:space="preserve">Meet the target API level. </w:t>
      </w:r>
      <w:r>
        <w:rPr>
          <w:color w:val="1a1a1a"/>
          <w:sz w:val="21"/>
          <w:szCs w:val="21"/>
        </w:rPr>
        <w:t xml:space="preserve">Google requires apps to target a recent Android API, and the required level moves every year. An app that falls behind stops being visible to new users (verify the current level).</w:t>
      </w:r>
    </w:p>
    <w:p>
      <w:pPr>
        <w:pStyle w:val="ListParagraph"/>
        <w:numPr>
          <w:ilvl w:val="0"/>
          <w:numId w:val="6"/>
        </w:numPr>
        <w:spacing w:after="100" w:line="276"/>
      </w:pPr>
      <w:r>
        <w:rPr>
          <w:b/>
          <w:bCs/>
          <w:color w:val="1a1a1a"/>
          <w:sz w:val="21"/>
          <w:szCs w:val="21"/>
        </w:rPr>
        <w:t xml:space="preserve">Run a closed test. </w:t>
      </w:r>
      <w:r>
        <w:rPr>
          <w:color w:val="1a1a1a"/>
          <w:sz w:val="21"/>
          <w:szCs w:val="21"/>
        </w:rPr>
        <w:t xml:space="preserve">New developer accounts have been required to run a closed test with a minimum number of testers for a continuous period before applying for production access — recently 12 testers for 14 days for personal accounts, with organisation accounts treated differently. This rule has changed more than once: verify it before you plan a launch date around it.</w:t>
      </w:r>
    </w:p>
    <w:p>
      <w:pPr>
        <w:pStyle w:val="ListParagraph"/>
        <w:numPr>
          <w:ilvl w:val="0"/>
          <w:numId w:val="6"/>
        </w:numPr>
        <w:spacing w:after="100" w:line="276"/>
      </w:pPr>
      <w:r>
        <w:rPr>
          <w:b/>
          <w:bCs/>
          <w:color w:val="1a1a1a"/>
          <w:sz w:val="21"/>
          <w:szCs w:val="21"/>
        </w:rPr>
        <w:t xml:space="preserve">Submit for review. </w:t>
      </w:r>
      <w:r>
        <w:rPr>
          <w:color w:val="1a1a1a"/>
          <w:sz w:val="21"/>
          <w:szCs w:val="21"/>
        </w:rPr>
        <w:t xml:space="preserve">Usually days rather than weeks, longer for a brand-new account.</w:t>
      </w:r>
    </w:p>
    <w:p>
      <w:pPr>
        <w:pStyle w:val="Heading2"/>
        <w:spacing w:after="140" w:before="280"/>
      </w:pPr>
      <w:r>
        <w:rPr>
          <w:b/>
          <w:bCs/>
          <w:color w:val="1a1a1a"/>
          <w:sz w:val="25"/>
          <w:szCs w:val="25"/>
        </w:rPr>
        <w:t xml:space="preserve">3.4  The Apple App Store, step by step</w:t>
      </w:r>
    </w:p>
    <w:p>
      <w:pPr>
        <w:pStyle w:val="ListParagraph"/>
        <w:numPr>
          <w:ilvl w:val="0"/>
          <w:numId w:val="7"/>
        </w:numPr>
        <w:spacing w:after="100" w:line="276"/>
      </w:pPr>
      <w:r>
        <w:rPr>
          <w:b/>
          <w:bCs/>
          <w:color w:val="1a1a1a"/>
          <w:sz w:val="21"/>
          <w:szCs w:val="21"/>
        </w:rPr>
        <w:t xml:space="preserve">Get the D-U-N-S number first. </w:t>
      </w:r>
      <w:r>
        <w:rPr>
          <w:color w:val="1a1a1a"/>
          <w:sz w:val="21"/>
          <w:szCs w:val="21"/>
        </w:rPr>
        <w:t xml:space="preserve">Apple will not enrol an organisation without it, and it can take days. Same number as Google’s.</w:t>
      </w:r>
    </w:p>
    <w:p>
      <w:pPr>
        <w:pStyle w:val="ListParagraph"/>
        <w:numPr>
          <w:ilvl w:val="0"/>
          <w:numId w:val="7"/>
        </w:numPr>
        <w:spacing w:after="100" w:line="276"/>
      </w:pPr>
      <w:r>
        <w:rPr>
          <w:b/>
          <w:bCs/>
          <w:color w:val="1a1a1a"/>
          <w:sz w:val="21"/>
          <w:szCs w:val="21"/>
        </w:rPr>
        <w:t xml:space="preserve">Enrol in the Apple Developer Program. </w:t>
      </w:r>
      <w:r>
        <w:rPr>
          <w:color w:val="1a1a1a"/>
          <w:sz w:val="21"/>
          <w:szCs w:val="21"/>
        </w:rPr>
        <w:t xml:space="preserve">US$99 a year (verify). Enrol as an organisation: Apple checks the legal entity, that you have authority to bind it, and that the company has a public website showing the entity name.</w:t>
      </w:r>
    </w:p>
    <w:p>
      <w:pPr>
        <w:pStyle w:val="ListParagraph"/>
        <w:numPr>
          <w:ilvl w:val="0"/>
          <w:numId w:val="7"/>
        </w:numPr>
        <w:spacing w:after="100" w:line="276"/>
      </w:pPr>
      <w:r>
        <w:rPr>
          <w:b/>
          <w:bCs/>
          <w:color w:val="1a1a1a"/>
          <w:sz w:val="21"/>
          <w:szCs w:val="21"/>
        </w:rPr>
        <w:t xml:space="preserve">You need a Mac, or a build service. </w:t>
      </w:r>
      <w:r>
        <w:rPr>
          <w:color w:val="1a1a1a"/>
          <w:sz w:val="21"/>
          <w:szCs w:val="21"/>
        </w:rPr>
        <w:t xml:space="preserve">iOS builds are signed on macOS. Expo’s EAS Build and similar services do it in the cloud for a fee, which is usually cheaper than buying a Mac to find out whether the app works.</w:t>
      </w:r>
    </w:p>
    <w:p>
      <w:pPr>
        <w:pStyle w:val="ListParagraph"/>
        <w:numPr>
          <w:ilvl w:val="0"/>
          <w:numId w:val="7"/>
        </w:numPr>
        <w:spacing w:after="100" w:line="276"/>
      </w:pPr>
      <w:r>
        <w:rPr>
          <w:b/>
          <w:bCs/>
          <w:color w:val="1a1a1a"/>
          <w:sz w:val="21"/>
          <w:szCs w:val="21"/>
        </w:rPr>
        <w:t xml:space="preserve">Create the app record in App Store Connect. </w:t>
      </w:r>
      <w:r>
        <w:rPr>
          <w:color w:val="1a1a1a"/>
          <w:sz w:val="21"/>
          <w:szCs w:val="21"/>
        </w:rPr>
        <w:t xml:space="preserve">Bundle ID, name, subtitle, description, keywords, support URL, marketing URL, privacy policy URL.</w:t>
      </w:r>
    </w:p>
    <w:p>
      <w:pPr>
        <w:pStyle w:val="ListParagraph"/>
        <w:numPr>
          <w:ilvl w:val="0"/>
          <w:numId w:val="7"/>
        </w:numPr>
        <w:spacing w:after="100" w:line="276"/>
      </w:pPr>
      <w:r>
        <w:rPr>
          <w:b/>
          <w:bCs/>
          <w:color w:val="1a1a1a"/>
          <w:sz w:val="21"/>
          <w:szCs w:val="21"/>
        </w:rPr>
        <w:t xml:space="preserve">Screenshots, at the sizes Apple demands. </w:t>
      </w:r>
      <w:r>
        <w:rPr>
          <w:color w:val="1a1a1a"/>
          <w:sz w:val="21"/>
          <w:szCs w:val="21"/>
        </w:rPr>
        <w:t xml:space="preserve">Specific device sizes, and they are checked. Budget real time for this — it is the step that most often delays a first submission.</w:t>
      </w:r>
    </w:p>
    <w:p>
      <w:pPr>
        <w:pStyle w:val="ListParagraph"/>
        <w:numPr>
          <w:ilvl w:val="0"/>
          <w:numId w:val="7"/>
        </w:numPr>
        <w:spacing w:after="100" w:line="276"/>
      </w:pPr>
      <w:r>
        <w:rPr>
          <w:b/>
          <w:bCs/>
          <w:color w:val="1a1a1a"/>
          <w:sz w:val="21"/>
          <w:szCs w:val="21"/>
        </w:rPr>
        <w:t xml:space="preserve">Fill in App Privacy. </w:t>
      </w:r>
      <w:r>
        <w:rPr>
          <w:color w:val="1a1a1a"/>
          <w:sz w:val="21"/>
          <w:szCs w:val="21"/>
        </w:rPr>
        <w:t xml:space="preserve">Apple’s “nutrition labels”: what you collect, whether it is linked to identity, and whether it is used for tracking. Wrong answers here are a policy problem later, not just a rejection.</w:t>
      </w:r>
    </w:p>
    <w:p>
      <w:pPr>
        <w:pStyle w:val="ListParagraph"/>
        <w:numPr>
          <w:ilvl w:val="0"/>
          <w:numId w:val="7"/>
        </w:numPr>
        <w:spacing w:after="100" w:line="276"/>
      </w:pPr>
      <w:r>
        <w:rPr>
          <w:b/>
          <w:bCs/>
          <w:color w:val="1a1a1a"/>
          <w:sz w:val="21"/>
          <w:szCs w:val="21"/>
        </w:rPr>
        <w:t xml:space="preserve">Add Sign in with Apple. </w:t>
      </w:r>
      <w:r>
        <w:rPr>
          <w:color w:val="1a1a1a"/>
          <w:sz w:val="21"/>
          <w:szCs w:val="21"/>
        </w:rPr>
        <w:t xml:space="preserve">Required if the app offers other third-party sign-in. FutureBox now offers Google and Facebook, so this is not optional.</w:t>
      </w:r>
    </w:p>
    <w:p>
      <w:pPr>
        <w:pStyle w:val="ListParagraph"/>
        <w:numPr>
          <w:ilvl w:val="0"/>
          <w:numId w:val="7"/>
        </w:numPr>
        <w:spacing w:after="100" w:line="276"/>
      </w:pPr>
      <w:r>
        <w:rPr>
          <w:b/>
          <w:bCs/>
          <w:color w:val="1a1a1a"/>
          <w:sz w:val="21"/>
          <w:szCs w:val="21"/>
        </w:rPr>
        <w:t xml:space="preserve">Offer account deletion inside the app. </w:t>
      </w:r>
      <w:r>
        <w:rPr>
          <w:color w:val="1a1a1a"/>
          <w:sz w:val="21"/>
          <w:szCs w:val="21"/>
        </w:rPr>
        <w:t xml:space="preserve">Required for any app with account creation. FutureBox already has it, on the channel page — make sure it survives into the mobile build.</w:t>
      </w:r>
    </w:p>
    <w:p>
      <w:pPr>
        <w:pStyle w:val="ListParagraph"/>
        <w:numPr>
          <w:ilvl w:val="0"/>
          <w:numId w:val="7"/>
        </w:numPr>
        <w:spacing w:after="100" w:line="276"/>
      </w:pPr>
      <w:r>
        <w:rPr>
          <w:b/>
          <w:bCs/>
          <w:color w:val="1a1a1a"/>
          <w:sz w:val="21"/>
          <w:szCs w:val="21"/>
        </w:rPr>
        <w:t xml:space="preserve">Declare export compliance. </w:t>
      </w:r>
      <w:r>
        <w:rPr>
          <w:color w:val="1a1a1a"/>
          <w:sz w:val="21"/>
          <w:szCs w:val="21"/>
        </w:rPr>
        <w:t xml:space="preserve">A question about encryption on every submission. Standard HTTPS usually qualifies for an exemption, but it must be answered.</w:t>
      </w:r>
    </w:p>
    <w:p>
      <w:pPr>
        <w:pStyle w:val="ListParagraph"/>
        <w:numPr>
          <w:ilvl w:val="0"/>
          <w:numId w:val="7"/>
        </w:numPr>
        <w:spacing w:after="100" w:line="276"/>
      </w:pPr>
      <w:r>
        <w:rPr>
          <w:b/>
          <w:bCs/>
          <w:color w:val="1a1a1a"/>
          <w:sz w:val="21"/>
          <w:szCs w:val="21"/>
        </w:rPr>
        <w:t xml:space="preserve">Test through TestFlight, then submit. </w:t>
      </w:r>
      <w:r>
        <w:rPr>
          <w:color w:val="1a1a1a"/>
          <w:sz w:val="21"/>
          <w:szCs w:val="21"/>
        </w:rPr>
        <w:t xml:space="preserve">Review is often a day or two, but a first submission and any rejection extend it considerably.</w:t>
      </w:r>
    </w:p>
    <w:p>
      <w:pPr>
        <w:pStyle w:val="Heading2"/>
        <w:spacing w:after="140" w:before="280"/>
      </w:pPr>
      <w:r>
        <w:rPr>
          <w:b/>
          <w:bCs/>
          <w:color w:val="1a1a1a"/>
          <w:sz w:val="25"/>
          <w:szCs w:val="25"/>
        </w:rPr>
        <w:t xml:space="preserve">3.5  The rule that changes the business: in-app purchase</w:t>
      </w:r>
    </w:p>
    <w:tbl>
      <w:tblPr>
        <w:tblW w:type="dxa" w:w="9026"/>
        <w:tblBorders>
          <w:top w:val="single" w:color="b91c1c" w:sz="2"/>
          <w:left w:val="single" w:color="b91c1c" w:sz="12"/>
          <w:bottom w:val="single" w:color="b91c1c" w:sz="2"/>
          <w:right w:val="single" w:color="b91c1c" w:sz="2"/>
          <w:insideH w:val="none" w:color="auto" w:sz="0"/>
          <w:insideV w:val="none" w:color="auto" w:sz="0"/>
        </w:tblBorders>
      </w:tblPr>
      <w:tblGrid>
        <w:gridCol w:w="9026"/>
      </w:tblGrid>
      <w:tr>
        <w:trPr>
          <w:cantSplit/>
        </w:trPr>
        <w:tc>
          <w:tcPr>
            <w:tcW w:type="dxa" w:w="9026"/>
            <w:shd w:fill="fee2e2" w:color="auto" w:val="clear"/>
            <w:tcMar>
              <w:top w:type="dxa" w:w="160"/>
              <w:left w:type="dxa" w:w="200"/>
              <w:bottom w:type="dxa" w:w="160"/>
              <w:right w:type="dxa" w:w="200"/>
            </w:tcMar>
          </w:tcPr>
          <w:p>
            <w:pPr>
              <w:spacing w:after="80"/>
            </w:pPr>
            <w:r>
              <w:rPr>
                <w:b/>
                <w:bCs/>
                <w:color w:val="b91c1c"/>
                <w:sz w:val="21"/>
                <w:szCs w:val="21"/>
              </w:rPr>
              <w:t xml:space="preserve">Read this before deciding to be in the App Store at all</w:t>
            </w:r>
          </w:p>
          <w:p>
            <w:pPr>
              <w:spacing w:after="60" w:line="276"/>
            </w:pPr>
            <w:r>
              <w:rPr>
                <w:color w:val="1a1a1a"/>
                <w:sz w:val="20"/>
                <w:szCs w:val="20"/>
              </w:rPr>
              <w:t xml:space="preserve">Both stores require digital goods and subscriptions sold inside an app to be sold through their own billing. That means Apple’s In-App Purchase and Google Play Billing — not Paystack.</w:t>
            </w:r>
          </w:p>
          <w:p>
            <w:pPr>
              <w:spacing w:after="60" w:line="276"/>
            </w:pPr>
            <w:r>
              <w:rPr>
                <w:color w:val="1a1a1a"/>
                <w:sz w:val="20"/>
                <w:szCs w:val="20"/>
              </w:rPr>
              <w:t xml:space="preserve">The commission is commonly 30%, reduced to 15% for small developers under a revenue threshold and for subscriptions after the first year (verify the current rates and thresholds, which have moved and are under legal challenge in several countries).</w:t>
            </w:r>
          </w:p>
          <w:p>
            <w:pPr>
              <w:spacing w:after="60" w:line="276"/>
            </w:pPr>
            <w:r>
              <w:rPr>
                <w:color w:val="1a1a1a"/>
                <w:sz w:val="20"/>
                <w:szCs w:val="20"/>
              </w:rPr>
              <w:t xml:space="preserve">On the R149 Maker plan, that is roughly R22 a month per subscriber at 15% and about R45 at 30% — on top of what you already pay Paystack on web subscriptions and what the AI engines cost you per generation. Work that through the plan pricing in the app before committing, because it can turn a working margin into a losing one.</w:t>
            </w:r>
          </w:p>
          <w:p>
            <w:pPr>
              <w:spacing w:after="60" w:line="276"/>
            </w:pPr>
            <w:r>
              <w:rPr>
                <w:color w:val="1a1a1a"/>
                <w:sz w:val="20"/>
                <w:szCs w:val="20"/>
              </w:rPr>
              <w:t xml:space="preserve">Two things soften it. Somebody who subscribes on your website and then signs in on the phone costs you nothing extra — the store only takes a cut of purchases made in the app. And rules about linking out to your own website have loosened in some places, but they differ by country and by court, and building a business on the current state of that fight is not sensible.</w:t>
            </w:r>
          </w:p>
        </w:tc>
      </w:tr>
    </w:tbl>
    <w:p>
      <w:pPr>
        <w:pStyle w:val="Heading2"/>
        <w:spacing w:after="140" w:before="280"/>
      </w:pPr>
      <w:r>
        <w:rPr>
          <w:b/>
          <w:bCs/>
          <w:color w:val="1a1a1a"/>
          <w:sz w:val="25"/>
          <w:szCs w:val="25"/>
        </w:rPr>
        <w:t xml:space="preserve">3.6  What both stores will ask about AI content</w:t>
      </w:r>
    </w:p>
    <w:p>
      <w:pPr>
        <w:spacing w:after="140" w:line="276"/>
      </w:pPr>
      <w:r>
        <w:rPr>
          <w:color w:val="1a1a1a"/>
          <w:sz w:val="21"/>
          <w:szCs w:val="21"/>
        </w:rPr>
        <w:t xml:space="preserve">Both have tightened rules on user-generated and AI-generated content, and an app that makes songs, videos and cloned voices is squarely in scope. You are in a better position than most because much of this already exists.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4300"/>
        <w:gridCol w:w="4726"/>
      </w:tblGrid>
      <w:tr>
        <w:trPr>
          <w:cantSplit/>
          <w:tblHeader/>
        </w:trPr>
        <w:tc>
          <w:tcPr>
            <w:tcW w:type="dxa" w:w="4300"/>
            <w:shd w:fill="f3f4f6" w:color="auto" w:val="clear"/>
            <w:tcMar>
              <w:top w:type="dxa" w:w="90"/>
              <w:left w:type="dxa" w:w="120"/>
              <w:bottom w:type="dxa" w:w="90"/>
              <w:right w:type="dxa" w:w="120"/>
            </w:tcMar>
          </w:tcPr>
          <w:p>
            <w:pPr>
              <w:spacing w:after="0" w:line="260"/>
            </w:pPr>
            <w:r>
              <w:rPr>
                <w:b/>
                <w:bCs/>
                <w:color w:val="1a1a1a"/>
                <w:sz w:val="19"/>
                <w:szCs w:val="19"/>
              </w:rPr>
              <w:t xml:space="preserve">What they require</w:t>
            </w:r>
          </w:p>
        </w:tc>
        <w:tc>
          <w:tcPr>
            <w:tcW w:type="dxa" w:w="4726"/>
            <w:shd w:fill="f3f4f6" w:color="auto" w:val="clear"/>
            <w:tcMar>
              <w:top w:type="dxa" w:w="90"/>
              <w:left w:type="dxa" w:w="120"/>
              <w:bottom w:type="dxa" w:w="90"/>
              <w:right w:type="dxa" w:w="120"/>
            </w:tcMar>
          </w:tcPr>
          <w:p>
            <w:pPr>
              <w:spacing w:after="0" w:line="260"/>
            </w:pPr>
            <w:r>
              <w:rPr>
                <w:b/>
                <w:bCs/>
                <w:color w:val="1a1a1a"/>
                <w:sz w:val="19"/>
                <w:szCs w:val="19"/>
              </w:rPr>
              <w:t xml:space="preserve">Where FutureBox stands</w:t>
            </w:r>
          </w:p>
        </w:tc>
      </w:tr>
      <w:tr>
        <w:trPr>
          <w:cantSplit/>
        </w:trPr>
        <w:tc>
          <w:tcPr>
            <w:tcW w:type="dxa" w:w="4300"/>
            <w:shd w:fill="ffffff" w:color="auto" w:val="clear"/>
            <w:tcMar>
              <w:top w:type="dxa" w:w="90"/>
              <w:left w:type="dxa" w:w="120"/>
              <w:bottom w:type="dxa" w:w="90"/>
              <w:right w:type="dxa" w:w="120"/>
            </w:tcMar>
          </w:tcPr>
          <w:p>
            <w:pPr>
              <w:spacing w:after="0" w:line="260"/>
            </w:pPr>
            <w:r>
              <w:rPr>
                <w:color w:val="1a1a1a"/>
                <w:sz w:val="19"/>
                <w:szCs w:val="19"/>
              </w:rPr>
              <w:t xml:space="preserve">A published content policy and moderation of what users create</w:t>
            </w:r>
          </w:p>
        </w:tc>
        <w:tc>
          <w:tcPr>
            <w:tcW w:type="dxa" w:w="4726"/>
            <w:shd w:fill="ffffff" w:color="auto" w:val="clear"/>
            <w:tcMar>
              <w:top w:type="dxa" w:w="90"/>
              <w:left w:type="dxa" w:w="120"/>
              <w:bottom w:type="dxa" w:w="90"/>
              <w:right w:type="dxa" w:w="120"/>
            </w:tcMar>
          </w:tcPr>
          <w:p>
            <w:pPr>
              <w:spacing w:after="0" w:line="260"/>
            </w:pPr>
            <w:r>
              <w:rPr>
                <w:color w:val="1a1a1a"/>
                <w:sz w:val="19"/>
                <w:szCs w:val="19"/>
              </w:rPr>
              <w:t xml:space="preserve">Built. There is a safety gate on prompts and a log of refusals.</w:t>
            </w:r>
          </w:p>
        </w:tc>
      </w:tr>
      <w:tr>
        <w:trPr>
          <w:cantSplit/>
        </w:trPr>
        <w:tc>
          <w:tcPr>
            <w:tcW w:type="dxa" w:w="4300"/>
            <w:shd w:fill="ffffff" w:color="auto" w:val="clear"/>
            <w:tcMar>
              <w:top w:type="dxa" w:w="90"/>
              <w:left w:type="dxa" w:w="120"/>
              <w:bottom w:type="dxa" w:w="90"/>
              <w:right w:type="dxa" w:w="120"/>
            </w:tcMar>
          </w:tcPr>
          <w:p>
            <w:pPr>
              <w:spacing w:after="0" w:line="260"/>
            </w:pPr>
            <w:r>
              <w:rPr>
                <w:color w:val="1a1a1a"/>
                <w:sz w:val="19"/>
                <w:szCs w:val="19"/>
              </w:rPr>
              <w:t xml:space="preserve">A way for a user to report offensive content in the app</w:t>
            </w:r>
          </w:p>
        </w:tc>
        <w:tc>
          <w:tcPr>
            <w:tcW w:type="dxa" w:w="4726"/>
            <w:shd w:fill="ffffff" w:color="auto" w:val="clear"/>
            <w:tcMar>
              <w:top w:type="dxa" w:w="90"/>
              <w:left w:type="dxa" w:w="120"/>
              <w:bottom w:type="dxa" w:w="90"/>
              <w:right w:type="dxa" w:w="120"/>
            </w:tcMar>
          </w:tcPr>
          <w:p>
            <w:pPr>
              <w:spacing w:after="0" w:line="260"/>
            </w:pPr>
            <w:r>
              <w:rPr>
                <w:color w:val="1a1a1a"/>
                <w:sz w:val="19"/>
                <w:szCs w:val="19"/>
              </w:rPr>
              <w:t xml:space="preserve">Not built. This is a real gap for both stores.</w:t>
            </w:r>
          </w:p>
        </w:tc>
      </w:tr>
      <w:tr>
        <w:trPr>
          <w:cantSplit/>
        </w:trPr>
        <w:tc>
          <w:tcPr>
            <w:tcW w:type="dxa" w:w="4300"/>
            <w:shd w:fill="ffffff" w:color="auto" w:val="clear"/>
            <w:tcMar>
              <w:top w:type="dxa" w:w="90"/>
              <w:left w:type="dxa" w:w="120"/>
              <w:bottom w:type="dxa" w:w="90"/>
              <w:right w:type="dxa" w:w="120"/>
            </w:tcMar>
          </w:tcPr>
          <w:p>
            <w:pPr>
              <w:spacing w:after="0" w:line="260"/>
            </w:pPr>
            <w:r>
              <w:rPr>
                <w:color w:val="1a1a1a"/>
                <w:sz w:val="19"/>
                <w:szCs w:val="19"/>
              </w:rPr>
              <w:t xml:space="preserve">A way to block another user</w:t>
            </w:r>
          </w:p>
        </w:tc>
        <w:tc>
          <w:tcPr>
            <w:tcW w:type="dxa" w:w="4726"/>
            <w:shd w:fill="ffffff" w:color="auto" w:val="clear"/>
            <w:tcMar>
              <w:top w:type="dxa" w:w="90"/>
              <w:left w:type="dxa" w:w="120"/>
              <w:bottom w:type="dxa" w:w="90"/>
              <w:right w:type="dxa" w:w="120"/>
            </w:tcMar>
          </w:tcPr>
          <w:p>
            <w:pPr>
              <w:spacing w:after="0" w:line="260"/>
            </w:pPr>
            <w:r>
              <w:rPr>
                <w:color w:val="1a1a1a"/>
                <w:sz w:val="19"/>
                <w:szCs w:val="19"/>
              </w:rPr>
              <w:t xml:space="preserve">Partly — collaboration is opt-in on both sides. Worth checking against the exact wording.</w:t>
            </w:r>
          </w:p>
        </w:tc>
      </w:tr>
      <w:tr>
        <w:trPr>
          <w:cantSplit/>
        </w:trPr>
        <w:tc>
          <w:tcPr>
            <w:tcW w:type="dxa" w:w="4300"/>
            <w:shd w:fill="ffffff" w:color="auto" w:val="clear"/>
            <w:tcMar>
              <w:top w:type="dxa" w:w="90"/>
              <w:left w:type="dxa" w:w="120"/>
              <w:bottom w:type="dxa" w:w="90"/>
              <w:right w:type="dxa" w:w="120"/>
            </w:tcMar>
          </w:tcPr>
          <w:p>
            <w:pPr>
              <w:spacing w:after="0" w:line="260"/>
            </w:pPr>
            <w:r>
              <w:rPr>
                <w:color w:val="1a1a1a"/>
                <w:sz w:val="19"/>
                <w:szCs w:val="19"/>
              </w:rPr>
              <w:t xml:space="preserve">Consent for voice cloning</w:t>
            </w:r>
          </w:p>
        </w:tc>
        <w:tc>
          <w:tcPr>
            <w:tcW w:type="dxa" w:w="4726"/>
            <w:shd w:fill="ffffff" w:color="auto" w:val="clear"/>
            <w:tcMar>
              <w:top w:type="dxa" w:w="90"/>
              <w:left w:type="dxa" w:w="120"/>
              <w:bottom w:type="dxa" w:w="90"/>
              <w:right w:type="dxa" w:w="120"/>
            </w:tcMar>
          </w:tcPr>
          <w:p>
            <w:pPr>
              <w:spacing w:after="0" w:line="260"/>
            </w:pPr>
            <w:r>
              <w:rPr>
                <w:color w:val="1a1a1a"/>
                <w:sz w:val="19"/>
                <w:szCs w:val="19"/>
              </w:rPr>
              <w:t xml:space="preserve">Built, and the confirmation is stored. This is unusually well handled.</w:t>
            </w:r>
          </w:p>
        </w:tc>
      </w:tr>
      <w:tr>
        <w:trPr>
          <w:cantSplit/>
        </w:trPr>
        <w:tc>
          <w:tcPr>
            <w:tcW w:type="dxa" w:w="4300"/>
            <w:shd w:fill="ffffff" w:color="auto" w:val="clear"/>
            <w:tcMar>
              <w:top w:type="dxa" w:w="90"/>
              <w:left w:type="dxa" w:w="120"/>
              <w:bottom w:type="dxa" w:w="90"/>
              <w:right w:type="dxa" w:w="120"/>
            </w:tcMar>
          </w:tcPr>
          <w:p>
            <w:pPr>
              <w:spacing w:after="0" w:line="260"/>
            </w:pPr>
            <w:r>
              <w:rPr>
                <w:color w:val="1a1a1a"/>
                <w:sz w:val="19"/>
                <w:szCs w:val="19"/>
              </w:rPr>
              <w:t xml:space="preserve">Disclosure that content is AI-generated</w:t>
            </w:r>
          </w:p>
        </w:tc>
        <w:tc>
          <w:tcPr>
            <w:tcW w:type="dxa" w:w="4726"/>
            <w:shd w:fill="ffffff" w:color="auto" w:val="clear"/>
            <w:tcMar>
              <w:top w:type="dxa" w:w="90"/>
              <w:left w:type="dxa" w:w="120"/>
              <w:bottom w:type="dxa" w:w="90"/>
              <w:right w:type="dxa" w:w="120"/>
            </w:tcMar>
          </w:tcPr>
          <w:p>
            <w:pPr>
              <w:spacing w:after="0" w:line="260"/>
            </w:pPr>
            <w:r>
              <w:rPr>
                <w:color w:val="1a1a1a"/>
                <w:sz w:val="19"/>
                <w:szCs w:val="19"/>
              </w:rPr>
              <w:t xml:space="preserve">Built — the model stack is printed under every release.</w:t>
            </w:r>
          </w:p>
        </w:tc>
      </w:tr>
      <w:tr>
        <w:trPr>
          <w:cantSplit/>
        </w:trPr>
        <w:tc>
          <w:tcPr>
            <w:tcW w:type="dxa" w:w="4300"/>
            <w:shd w:fill="ffffff" w:color="auto" w:val="clear"/>
            <w:tcMar>
              <w:top w:type="dxa" w:w="90"/>
              <w:left w:type="dxa" w:w="120"/>
              <w:bottom w:type="dxa" w:w="90"/>
              <w:right w:type="dxa" w:w="120"/>
            </w:tcMar>
          </w:tcPr>
          <w:p>
            <w:pPr>
              <w:spacing w:after="0" w:line="260"/>
            </w:pPr>
            <w:r>
              <w:rPr>
                <w:color w:val="1a1a1a"/>
                <w:sz w:val="19"/>
                <w:szCs w:val="19"/>
              </w:rPr>
              <w:t xml:space="preserve">Account deletion inside the app</w:t>
            </w:r>
          </w:p>
        </w:tc>
        <w:tc>
          <w:tcPr>
            <w:tcW w:type="dxa" w:w="4726"/>
            <w:shd w:fill="ffffff" w:color="auto" w:val="clear"/>
            <w:tcMar>
              <w:top w:type="dxa" w:w="90"/>
              <w:left w:type="dxa" w:w="120"/>
              <w:bottom w:type="dxa" w:w="90"/>
              <w:right w:type="dxa" w:w="120"/>
            </w:tcMar>
          </w:tcPr>
          <w:p>
            <w:pPr>
              <w:spacing w:after="0" w:line="260"/>
            </w:pPr>
            <w:r>
              <w:rPr>
                <w:color w:val="1a1a1a"/>
                <w:sz w:val="19"/>
                <w:szCs w:val="19"/>
              </w:rPr>
              <w:t xml:space="preserve">Built, on the channel page.</w:t>
            </w:r>
          </w:p>
        </w:tc>
      </w:tr>
    </w:tbl>
    <w:p>
      <w:pPr>
        <w:pStyle w:val="Heading1"/>
        <w:pageBreakBefore/>
        <w:spacing w:after="180" w:before="360"/>
      </w:pPr>
      <w:r>
        <w:rPr>
          <w:b/>
          <w:bCs/>
          <w:color w:val="1a1a1a"/>
          <w:sz w:val="32"/>
          <w:szCs w:val="32"/>
        </w:rPr>
        <w:t xml:space="preserve">Part 4 — What it costs</w:t>
      </w:r>
    </w:p>
    <w:tbl>
      <w:tblPr>
        <w:tblW w:type="dxa" w:w="9026"/>
        <w:tblBorders>
          <w:top w:val="single" w:color="d97706" w:sz="2"/>
          <w:left w:val="single" w:color="d97706" w:sz="12"/>
          <w:bottom w:val="single" w:color="d97706" w:sz="2"/>
          <w:right w:val="single" w:color="d97706" w:sz="2"/>
          <w:insideH w:val="none" w:color="auto" w:sz="0"/>
          <w:insideV w:val="none" w:color="auto" w:sz="0"/>
        </w:tblBorders>
      </w:tblPr>
      <w:tblGrid>
        <w:gridCol w:w="9026"/>
      </w:tblGrid>
      <w:tr>
        <w:trPr>
          <w:cantSplit/>
        </w:trPr>
        <w:tc>
          <w:tcPr>
            <w:tcW w:type="dxa" w:w="9026"/>
            <w:shd w:fill="fef3c7" w:color="auto" w:val="clear"/>
            <w:tcMar>
              <w:top w:type="dxa" w:w="160"/>
              <w:left w:type="dxa" w:w="200"/>
              <w:bottom w:type="dxa" w:w="160"/>
              <w:right w:type="dxa" w:w="200"/>
            </w:tcMar>
          </w:tcPr>
          <w:p>
            <w:pPr>
              <w:spacing w:after="80"/>
            </w:pPr>
            <w:r>
              <w:rPr>
                <w:b/>
                <w:bCs/>
                <w:color w:val="d97706"/>
                <w:sz w:val="21"/>
                <w:szCs w:val="21"/>
              </w:rPr>
              <w:t xml:space="preserve">Every figure here must be checked before you budget on it</w:t>
            </w:r>
          </w:p>
          <w:p>
            <w:pPr>
              <w:spacing w:after="60" w:line="276"/>
            </w:pPr>
            <w:r>
              <w:rPr>
                <w:color w:val="1a1a1a"/>
                <w:sz w:val="20"/>
                <w:szCs w:val="20"/>
              </w:rPr>
              <w:t xml:space="preserve">These are order-of-magnitude figures from knowledge with a cut-off date, given so you can see the shape of the spend. They are not quotes. Government fees, store fees and exchange rates all move.</w:t>
            </w:r>
          </w:p>
        </w:tc>
      </w:tr>
    </w:tbl>
    <w:p>
      <w:pPr>
        <w:pStyle w:val="Heading2"/>
        <w:spacing w:after="140" w:before="280"/>
      </w:pPr>
      <w:r>
        <w:rPr>
          <w:b/>
          <w:bCs/>
          <w:color w:val="1a1a1a"/>
          <w:sz w:val="25"/>
          <w:szCs w:val="25"/>
        </w:rPr>
        <w:t xml:space="preserve">One-off, to be legal and trading</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400"/>
        <w:gridCol w:w="3000"/>
        <w:gridCol w:w="2626"/>
      </w:tblGrid>
      <w:tr>
        <w:trPr>
          <w:cantSplit/>
          <w:tblHeader/>
        </w:trPr>
        <w:tc>
          <w:tcPr>
            <w:tcW w:type="dxa" w:w="3400"/>
            <w:shd w:fill="f3f4f6" w:color="auto" w:val="clear"/>
            <w:tcMar>
              <w:top w:type="dxa" w:w="90"/>
              <w:left w:type="dxa" w:w="120"/>
              <w:bottom w:type="dxa" w:w="90"/>
              <w:right w:type="dxa" w:w="120"/>
            </w:tcMar>
          </w:tcPr>
          <w:p>
            <w:pPr>
              <w:spacing w:after="0" w:line="260"/>
            </w:pPr>
            <w:r>
              <w:rPr>
                <w:b/>
                <w:bCs/>
                <w:color w:val="1a1a1a"/>
                <w:sz w:val="19"/>
                <w:szCs w:val="19"/>
              </w:rPr>
              <w:t xml:space="preserve">Item</w:t>
            </w:r>
          </w:p>
        </w:tc>
        <w:tc>
          <w:tcPr>
            <w:tcW w:type="dxa" w:w="3000"/>
            <w:shd w:fill="f3f4f6" w:color="auto" w:val="clear"/>
            <w:tcMar>
              <w:top w:type="dxa" w:w="90"/>
              <w:left w:type="dxa" w:w="120"/>
              <w:bottom w:type="dxa" w:w="90"/>
              <w:right w:type="dxa" w:w="120"/>
            </w:tcMar>
          </w:tcPr>
          <w:p>
            <w:pPr>
              <w:spacing w:after="0" w:line="260"/>
            </w:pPr>
            <w:r>
              <w:rPr>
                <w:b/>
                <w:bCs/>
                <w:color w:val="1a1a1a"/>
                <w:sz w:val="19"/>
                <w:szCs w:val="19"/>
              </w:rPr>
              <w:t xml:space="preserve">Approximate</w:t>
            </w:r>
          </w:p>
        </w:tc>
        <w:tc>
          <w:tcPr>
            <w:tcW w:type="dxa" w:w="2626"/>
            <w:shd w:fill="f3f4f6" w:color="auto" w:val="clear"/>
            <w:tcMar>
              <w:top w:type="dxa" w:w="90"/>
              <w:left w:type="dxa" w:w="120"/>
              <w:bottom w:type="dxa" w:w="90"/>
              <w:right w:type="dxa" w:w="120"/>
            </w:tcMar>
          </w:tcPr>
          <w:p>
            <w:pPr>
              <w:spacing w:after="0" w:line="260"/>
            </w:pPr>
            <w:r>
              <w:rPr>
                <w:b/>
                <w:bCs/>
                <w:color w:val="1a1a1a"/>
                <w:sz w:val="19"/>
                <w:szCs w:val="19"/>
              </w:rPr>
              <w:t xml:space="preserve">Verify at</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CIPC name reservation</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R50</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bizportal.gov.za / cipc.co.za</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CIPC company registration</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R125–R175</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bizportal.gov.za</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Certified ID copies</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Free at a police station</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Business bank account opening</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Usually free</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Your bank</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B-BBEE affidavit (EME)</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Free — a sworn affidavit</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A commissioner of oaths</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Information Officer registration</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Free</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inforegulator.org.za</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Trademark, per class (want 2)</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R590 per class, plus attorney fees if you use one</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cipc.co.za</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Attorney: POPIA, terms, the age question</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R5 000–R20 000 for a proper review</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Quotes</w:t>
            </w:r>
          </w:p>
        </w:tc>
      </w:tr>
    </w:tbl>
    <w:p>
      <w:pPr>
        <w:spacing w:after="140" w:line="276"/>
      </w:pPr>
      <w:r>
        <w:rPr>
          <w:color w:val="1a1a1a"/>
          <w:sz w:val="21"/>
          <w:szCs w:val="21"/>
        </w:rPr>
        <w:t xml:space="preserve"/>
      </w:r>
    </w:p>
    <w:p>
      <w:pPr>
        <w:pStyle w:val="Heading2"/>
        <w:spacing w:after="140" w:before="280"/>
      </w:pPr>
      <w:r>
        <w:rPr>
          <w:b/>
          <w:bCs/>
          <w:color w:val="1a1a1a"/>
          <w:sz w:val="25"/>
          <w:szCs w:val="25"/>
        </w:rPr>
        <w:t xml:space="preserve">One-off, to reach the stores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400"/>
        <w:gridCol w:w="3000"/>
        <w:gridCol w:w="2626"/>
      </w:tblGrid>
      <w:tr>
        <w:trPr>
          <w:cantSplit/>
          <w:tblHeader/>
        </w:trPr>
        <w:tc>
          <w:tcPr>
            <w:tcW w:type="dxa" w:w="3400"/>
            <w:shd w:fill="f3f4f6" w:color="auto" w:val="clear"/>
            <w:tcMar>
              <w:top w:type="dxa" w:w="90"/>
              <w:left w:type="dxa" w:w="120"/>
              <w:bottom w:type="dxa" w:w="90"/>
              <w:right w:type="dxa" w:w="120"/>
            </w:tcMar>
          </w:tcPr>
          <w:p>
            <w:pPr>
              <w:spacing w:after="0" w:line="260"/>
            </w:pPr>
            <w:r>
              <w:rPr>
                <w:b/>
                <w:bCs/>
                <w:color w:val="1a1a1a"/>
                <w:sz w:val="19"/>
                <w:szCs w:val="19"/>
              </w:rPr>
              <w:t xml:space="preserve">Item</w:t>
            </w:r>
          </w:p>
        </w:tc>
        <w:tc>
          <w:tcPr>
            <w:tcW w:type="dxa" w:w="3000"/>
            <w:shd w:fill="f3f4f6" w:color="auto" w:val="clear"/>
            <w:tcMar>
              <w:top w:type="dxa" w:w="90"/>
              <w:left w:type="dxa" w:w="120"/>
              <w:bottom w:type="dxa" w:w="90"/>
              <w:right w:type="dxa" w:w="120"/>
            </w:tcMar>
          </w:tcPr>
          <w:p>
            <w:pPr>
              <w:spacing w:after="0" w:line="260"/>
            </w:pPr>
            <w:r>
              <w:rPr>
                <w:b/>
                <w:bCs/>
                <w:color w:val="1a1a1a"/>
                <w:sz w:val="19"/>
                <w:szCs w:val="19"/>
              </w:rPr>
              <w:t xml:space="preserve">Approximate</w:t>
            </w:r>
          </w:p>
        </w:tc>
        <w:tc>
          <w:tcPr>
            <w:tcW w:type="dxa" w:w="2626"/>
            <w:shd w:fill="f3f4f6" w:color="auto" w:val="clear"/>
            <w:tcMar>
              <w:top w:type="dxa" w:w="90"/>
              <w:left w:type="dxa" w:w="120"/>
              <w:bottom w:type="dxa" w:w="90"/>
              <w:right w:type="dxa" w:w="120"/>
            </w:tcMar>
          </w:tcPr>
          <w:p>
            <w:pPr>
              <w:spacing w:after="0" w:line="260"/>
            </w:pPr>
            <w:r>
              <w:rPr>
                <w:b/>
                <w:bCs/>
                <w:color w:val="1a1a1a"/>
                <w:sz w:val="19"/>
                <w:szCs w:val="19"/>
              </w:rPr>
              <w:t xml:space="preserve">Verify at</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D-U-N-S number</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Free</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dnb.com</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Google Play developer account</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US$25 once</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play.google.com/console</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Apple Developer Program</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US$99 a year</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developer.apple.com</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Mac, or a cloud build service</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A Mac mini, or roughly US$0–100/month for EAS-style builds</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expo.dev, or Apple</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Building the app (route B)</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Days of work if you do it yourself</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w:t>
            </w:r>
          </w:p>
        </w:tc>
      </w:tr>
      <w:tr>
        <w:trPr>
          <w:cantSplit/>
        </w:trPr>
        <w:tc>
          <w:tcPr>
            <w:tcW w:type="dxa" w:w="3400"/>
            <w:shd w:fill="ffffff" w:color="auto" w:val="clear"/>
            <w:tcMar>
              <w:top w:type="dxa" w:w="90"/>
              <w:left w:type="dxa" w:w="120"/>
              <w:bottom w:type="dxa" w:w="90"/>
              <w:right w:type="dxa" w:w="120"/>
            </w:tcMar>
          </w:tcPr>
          <w:p>
            <w:pPr>
              <w:spacing w:after="0" w:line="260"/>
            </w:pPr>
            <w:r>
              <w:rPr>
                <w:color w:val="1a1a1a"/>
                <w:sz w:val="19"/>
                <w:szCs w:val="19"/>
              </w:rPr>
              <w:t xml:space="preserve">Building the app (route C)</w:t>
            </w:r>
          </w:p>
        </w:tc>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Weeks to months, or a developer’s rate</w:t>
            </w:r>
          </w:p>
        </w:tc>
        <w:tc>
          <w:tcPr>
            <w:tcW w:type="dxa" w:w="2626"/>
            <w:shd w:fill="ffffff" w:color="auto" w:val="clear"/>
            <w:tcMar>
              <w:top w:type="dxa" w:w="90"/>
              <w:left w:type="dxa" w:w="120"/>
              <w:bottom w:type="dxa" w:w="90"/>
              <w:right w:type="dxa" w:w="120"/>
            </w:tcMar>
          </w:tcPr>
          <w:p>
            <w:pPr>
              <w:spacing w:after="0" w:line="260"/>
            </w:pPr>
            <w:r>
              <w:rPr>
                <w:color w:val="1a1a1a"/>
                <w:sz w:val="19"/>
                <w:szCs w:val="19"/>
              </w:rPr>
              <w:t xml:space="preserve">Quotes</w:t>
            </w:r>
          </w:p>
        </w:tc>
      </w:tr>
    </w:tbl>
    <w:p>
      <w:pPr>
        <w:spacing w:after="140" w:line="276"/>
      </w:pPr>
      <w:r>
        <w:rPr>
          <w:color w:val="1a1a1a"/>
          <w:sz w:val="21"/>
          <w:szCs w:val="21"/>
        </w:rPr>
        <w:t xml:space="preserve"/>
      </w:r>
    </w:p>
    <w:p>
      <w:pPr>
        <w:pStyle w:val="Heading2"/>
        <w:spacing w:after="140" w:before="280"/>
      </w:pPr>
      <w:r>
        <w:rPr>
          <w:b/>
          <w:bCs/>
          <w:color w:val="1a1a1a"/>
          <w:sz w:val="25"/>
          <w:szCs w:val="25"/>
        </w:rPr>
        <w:t xml:space="preserve">Every month, once trading</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2800"/>
        <w:gridCol w:w="3226"/>
      </w:tblGrid>
      <w:tr>
        <w:trPr>
          <w:cantSplit/>
          <w:tblHeader/>
        </w:trPr>
        <w:tc>
          <w:tcPr>
            <w:tcW w:type="dxa" w:w="3000"/>
            <w:shd w:fill="f3f4f6" w:color="auto" w:val="clear"/>
            <w:tcMar>
              <w:top w:type="dxa" w:w="90"/>
              <w:left w:type="dxa" w:w="120"/>
              <w:bottom w:type="dxa" w:w="90"/>
              <w:right w:type="dxa" w:w="120"/>
            </w:tcMar>
          </w:tcPr>
          <w:p>
            <w:pPr>
              <w:spacing w:after="0" w:line="260"/>
            </w:pPr>
            <w:r>
              <w:rPr>
                <w:b/>
                <w:bCs/>
                <w:color w:val="1a1a1a"/>
                <w:sz w:val="19"/>
                <w:szCs w:val="19"/>
              </w:rPr>
              <w:t xml:space="preserve">Item</w:t>
            </w:r>
          </w:p>
        </w:tc>
        <w:tc>
          <w:tcPr>
            <w:tcW w:type="dxa" w:w="2800"/>
            <w:shd w:fill="f3f4f6" w:color="auto" w:val="clear"/>
            <w:tcMar>
              <w:top w:type="dxa" w:w="90"/>
              <w:left w:type="dxa" w:w="120"/>
              <w:bottom w:type="dxa" w:w="90"/>
              <w:right w:type="dxa" w:w="120"/>
            </w:tcMar>
          </w:tcPr>
          <w:p>
            <w:pPr>
              <w:spacing w:after="0" w:line="260"/>
            </w:pPr>
            <w:r>
              <w:rPr>
                <w:b/>
                <w:bCs/>
                <w:color w:val="1a1a1a"/>
                <w:sz w:val="19"/>
                <w:szCs w:val="19"/>
              </w:rPr>
              <w:t xml:space="preserve">Approximate</w:t>
            </w:r>
          </w:p>
        </w:tc>
        <w:tc>
          <w:tcPr>
            <w:tcW w:type="dxa" w:w="3226"/>
            <w:shd w:fill="f3f4f6" w:color="auto" w:val="clear"/>
            <w:tcMar>
              <w:top w:type="dxa" w:w="90"/>
              <w:left w:type="dxa" w:w="120"/>
              <w:bottom w:type="dxa" w:w="90"/>
              <w:right w:type="dxa" w:w="120"/>
            </w:tcMar>
          </w:tcPr>
          <w:p>
            <w:pPr>
              <w:spacing w:after="0" w:line="260"/>
            </w:pPr>
            <w:r>
              <w:rPr>
                <w:b/>
                <w:bCs/>
                <w:color w:val="1a1a1a"/>
                <w:sz w:val="19"/>
                <w:szCs w:val="19"/>
              </w:rPr>
              <w:t xml:space="preserve">Notes</w:t>
            </w:r>
          </w:p>
        </w:tc>
      </w:tr>
      <w:tr>
        <w:trPr>
          <w:cantSplit/>
        </w:trPr>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Bookkeeping / accounting</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R500–R2 500</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Cheaper than reconstructing a year</w:t>
            </w:r>
          </w:p>
        </w:tc>
      </w:tr>
      <w:tr>
        <w:trPr>
          <w:cantSplit/>
        </w:trPr>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Business bank account</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R0–R200</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Varies a lot by bank</w:t>
            </w:r>
          </w:p>
        </w:tc>
      </w:tr>
      <w:tr>
        <w:trPr>
          <w:cantSplit/>
        </w:trPr>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Domain and email</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R100–R300</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Per domain, plus mailboxes</w:t>
            </w:r>
          </w:p>
        </w:tc>
      </w:tr>
      <w:tr>
        <w:trPr>
          <w:cantSplit/>
        </w:trPr>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Hosting and database</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What Vercel and Supabase charge</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Already running</w:t>
            </w:r>
          </w:p>
        </w:tc>
      </w:tr>
      <w:tr>
        <w:trPr>
          <w:cantSplit/>
        </w:trPr>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AI engines</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Per generation — the real variable</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The ceilings in the app exist for this</w:t>
            </w:r>
          </w:p>
        </w:tc>
      </w:tr>
      <w:tr>
        <w:trPr>
          <w:cantSplit/>
        </w:trPr>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Paystack</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A percentage of each payment</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paystack.com/za/pricing</w:t>
            </w:r>
          </w:p>
        </w:tc>
      </w:tr>
      <w:tr>
        <w:trPr>
          <w:cantSplit/>
        </w:trPr>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Apple / Google commission</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15–30% of in-app sales only</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Not on web subscriptions</w:t>
            </w:r>
          </w:p>
        </w:tc>
      </w:tr>
    </w:tbl>
    <w:p>
      <w:pPr>
        <w:spacing w:after="140" w:line="276"/>
      </w:pPr>
      <w:r>
        <w:rPr>
          <w:color w:val="1a1a1a"/>
          <w:sz w:val="21"/>
          <w:szCs w:val="21"/>
        </w:rPr>
        <w:t xml:space="preserve"/>
      </w:r>
    </w:p>
    <w:p>
      <w:pPr>
        <w:pStyle w:val="Heading2"/>
        <w:spacing w:after="140" w:before="280"/>
      </w:pPr>
      <w:r>
        <w:rPr>
          <w:b/>
          <w:bCs/>
          <w:color w:val="1a1a1a"/>
          <w:sz w:val="25"/>
          <w:szCs w:val="25"/>
        </w:rPr>
        <w:t xml:space="preserve">Annually</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2800"/>
        <w:gridCol w:w="3226"/>
      </w:tblGrid>
      <w:tr>
        <w:trPr>
          <w:cantSplit/>
          <w:tblHeader/>
        </w:trPr>
        <w:tc>
          <w:tcPr>
            <w:tcW w:type="dxa" w:w="3000"/>
            <w:shd w:fill="f3f4f6" w:color="auto" w:val="clear"/>
            <w:tcMar>
              <w:top w:type="dxa" w:w="90"/>
              <w:left w:type="dxa" w:w="120"/>
              <w:bottom w:type="dxa" w:w="90"/>
              <w:right w:type="dxa" w:w="120"/>
            </w:tcMar>
          </w:tcPr>
          <w:p>
            <w:pPr>
              <w:spacing w:after="0" w:line="260"/>
            </w:pPr>
            <w:r>
              <w:rPr>
                <w:b/>
                <w:bCs/>
                <w:color w:val="1a1a1a"/>
                <w:sz w:val="19"/>
                <w:szCs w:val="19"/>
              </w:rPr>
              <w:t xml:space="preserve">Item</w:t>
            </w:r>
          </w:p>
        </w:tc>
        <w:tc>
          <w:tcPr>
            <w:tcW w:type="dxa" w:w="2800"/>
            <w:shd w:fill="f3f4f6" w:color="auto" w:val="clear"/>
            <w:tcMar>
              <w:top w:type="dxa" w:w="90"/>
              <w:left w:type="dxa" w:w="120"/>
              <w:bottom w:type="dxa" w:w="90"/>
              <w:right w:type="dxa" w:w="120"/>
            </w:tcMar>
          </w:tcPr>
          <w:p>
            <w:pPr>
              <w:spacing w:after="0" w:line="260"/>
            </w:pPr>
            <w:r>
              <w:rPr>
                <w:b/>
                <w:bCs/>
                <w:color w:val="1a1a1a"/>
                <w:sz w:val="19"/>
                <w:szCs w:val="19"/>
              </w:rPr>
              <w:t xml:space="preserve">Approximate</w:t>
            </w:r>
          </w:p>
        </w:tc>
        <w:tc>
          <w:tcPr>
            <w:tcW w:type="dxa" w:w="3226"/>
            <w:shd w:fill="f3f4f6" w:color="auto" w:val="clear"/>
            <w:tcMar>
              <w:top w:type="dxa" w:w="90"/>
              <w:left w:type="dxa" w:w="120"/>
              <w:bottom w:type="dxa" w:w="90"/>
              <w:right w:type="dxa" w:w="120"/>
            </w:tcMar>
          </w:tcPr>
          <w:p>
            <w:pPr>
              <w:spacing w:after="0" w:line="260"/>
            </w:pPr>
            <w:r>
              <w:rPr>
                <w:b/>
                <w:bCs/>
                <w:color w:val="1a1a1a"/>
                <w:sz w:val="19"/>
                <w:szCs w:val="19"/>
              </w:rPr>
              <w:t xml:space="preserve">Notes</w:t>
            </w:r>
          </w:p>
        </w:tc>
      </w:tr>
      <w:tr>
        <w:trPr>
          <w:cantSplit/>
        </w:trPr>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CIPC annual return</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From about R100, by turnover</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Miss it repeatedly and the company is deregistered</w:t>
            </w:r>
          </w:p>
        </w:tc>
      </w:tr>
      <w:tr>
        <w:trPr>
          <w:cantSplit/>
        </w:trPr>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Company tax return</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Compulsory even in a year with no income</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Your accountant</w:t>
            </w:r>
          </w:p>
        </w:tc>
      </w:tr>
      <w:tr>
        <w:trPr>
          <w:cantSplit/>
        </w:trPr>
        <w:tc>
          <w:tcPr>
            <w:tcW w:type="dxa" w:w="3000"/>
            <w:shd w:fill="ffffff" w:color="auto" w:val="clear"/>
            <w:tcMar>
              <w:top w:type="dxa" w:w="90"/>
              <w:left w:type="dxa" w:w="120"/>
              <w:bottom w:type="dxa" w:w="90"/>
              <w:right w:type="dxa" w:w="120"/>
            </w:tcMar>
          </w:tcPr>
          <w:p>
            <w:pPr>
              <w:spacing w:after="0" w:line="260"/>
            </w:pPr>
            <w:r>
              <w:rPr>
                <w:color w:val="1a1a1a"/>
                <w:sz w:val="19"/>
                <w:szCs w:val="19"/>
              </w:rPr>
              <w:t xml:space="preserve">Apple Developer Program</w:t>
            </w:r>
          </w:p>
        </w:tc>
        <w:tc>
          <w:tcPr>
            <w:tcW w:type="dxa" w:w="2800"/>
            <w:shd w:fill="ffffff" w:color="auto" w:val="clear"/>
            <w:tcMar>
              <w:top w:type="dxa" w:w="90"/>
              <w:left w:type="dxa" w:w="120"/>
              <w:bottom w:type="dxa" w:w="90"/>
              <w:right w:type="dxa" w:w="120"/>
            </w:tcMar>
          </w:tcPr>
          <w:p>
            <w:pPr>
              <w:spacing w:after="0" w:line="260"/>
            </w:pPr>
            <w:r>
              <w:rPr>
                <w:color w:val="1a1a1a"/>
                <w:sz w:val="19"/>
                <w:szCs w:val="19"/>
              </w:rPr>
              <w:t xml:space="preserve">US$99</w:t>
            </w:r>
          </w:p>
        </w:tc>
        <w:tc>
          <w:tcPr>
            <w:tcW w:type="dxa" w:w="3226"/>
            <w:shd w:fill="ffffff" w:color="auto" w:val="clear"/>
            <w:tcMar>
              <w:top w:type="dxa" w:w="90"/>
              <w:left w:type="dxa" w:w="120"/>
              <w:bottom w:type="dxa" w:w="90"/>
              <w:right w:type="dxa" w:w="120"/>
            </w:tcMar>
          </w:tcPr>
          <w:p>
            <w:pPr>
              <w:spacing w:after="0" w:line="260"/>
            </w:pPr>
            <w:r>
              <w:rPr>
                <w:color w:val="1a1a1a"/>
                <w:sz w:val="19"/>
                <w:szCs w:val="19"/>
              </w:rPr>
              <w:t xml:space="preserve">Lapses if unpaid — the app is removed</w:t>
            </w:r>
          </w:p>
        </w:tc>
      </w:tr>
    </w:tbl>
    <w:p>
      <w:pPr>
        <w:pStyle w:val="Heading1"/>
        <w:pageBreakBefore/>
        <w:spacing w:after="180" w:before="360"/>
      </w:pPr>
      <w:r>
        <w:rPr>
          <w:b/>
          <w:bCs/>
          <w:color w:val="1a1a1a"/>
          <w:sz w:val="32"/>
          <w:szCs w:val="32"/>
        </w:rPr>
        <w:t xml:space="preserve">Part 5 — The order to do it in</w:t>
      </w:r>
    </w:p>
    <w:p>
      <w:pPr>
        <w:spacing w:after="140" w:line="276"/>
      </w:pPr>
      <w:r>
        <w:rPr>
          <w:color w:val="1a1a1a"/>
          <w:sz w:val="21"/>
          <w:szCs w:val="21"/>
        </w:rPr>
        <w:t xml:space="preserve">Each block depends on the one above it. Nothing here is a week’s work on its own; the waiting is what takes the time, which is why the slow things start first.</w:t>
      </w:r>
    </w:p>
    <w:p>
      <w:pPr>
        <w:pStyle w:val="Heading3"/>
        <w:spacing w:after="100" w:before="220"/>
      </w:pPr>
      <w:r>
        <w:rPr>
          <w:b/>
          <w:bCs/>
          <w:color w:val="047857"/>
          <w:sz w:val="22"/>
          <w:szCs w:val="22"/>
        </w:rPr>
        <w:t xml:space="preserve">Start now, because they wait on somebody else</w:t>
      </w:r>
    </w:p>
    <w:p>
      <w:pPr>
        <w:pStyle w:val="ListParagraph"/>
        <w:numPr>
          <w:ilvl w:val="0"/>
          <w:numId w:val="3"/>
        </w:numPr>
        <w:spacing w:after="90" w:line="276"/>
      </w:pPr>
      <w:r>
        <w:rPr>
          <w:color w:val="1a1a1a"/>
          <w:sz w:val="21"/>
          <w:szCs w:val="21"/>
        </w:rPr>
        <w:t xml:space="preserve">Decide the name. Check CIPC, the domain registrars, and the trademark register for classes 9 and 42.</w:t>
      </w:r>
    </w:p>
    <w:p>
      <w:pPr>
        <w:pStyle w:val="ListParagraph"/>
        <w:numPr>
          <w:ilvl w:val="0"/>
          <w:numId w:val="3"/>
        </w:numPr>
        <w:spacing w:after="90" w:line="276"/>
      </w:pPr>
      <w:r>
        <w:rPr>
          <w:color w:val="1a1a1a"/>
          <w:sz w:val="21"/>
          <w:szCs w:val="21"/>
        </w:rPr>
        <w:t xml:space="preserve">Apply for a D-U-N-S number. Free, and it can take days. You need it for both stores.</w:t>
      </w:r>
    </w:p>
    <w:p>
      <w:pPr>
        <w:pStyle w:val="ListParagraph"/>
        <w:numPr>
          <w:ilvl w:val="0"/>
          <w:numId w:val="3"/>
        </w:numPr>
        <w:spacing w:after="90" w:line="276"/>
      </w:pPr>
      <w:r>
        <w:rPr>
          <w:color w:val="1a1a1a"/>
          <w:sz w:val="21"/>
          <w:szCs w:val="21"/>
        </w:rPr>
        <w:t xml:space="preserve">Book the attorney hour for POPIA, the under-18 question, and the ECTA disclosure conflict.</w:t>
      </w:r>
    </w:p>
    <w:p>
      <w:pPr>
        <w:pStyle w:val="Heading3"/>
        <w:spacing w:after="100" w:before="220"/>
      </w:pPr>
      <w:r>
        <w:rPr>
          <w:b/>
          <w:bCs/>
          <w:color w:val="047857"/>
          <w:sz w:val="22"/>
          <w:szCs w:val="22"/>
        </w:rPr>
        <w:t xml:space="preserve">Then, in order</w:t>
      </w:r>
    </w:p>
    <w:p>
      <w:pPr>
        <w:pStyle w:val="ListParagraph"/>
        <w:numPr>
          <w:ilvl w:val="0"/>
          <w:numId w:val="8"/>
        </w:numPr>
        <w:spacing w:after="100" w:line="276"/>
      </w:pPr>
      <w:r>
        <w:rPr>
          <w:color w:val="1a1a1a"/>
          <w:sz w:val="21"/>
          <w:szCs w:val="21"/>
        </w:rPr>
        <w:t xml:space="preserve">Register the company on BizPortal.</w:t>
      </w:r>
    </w:p>
    <w:p>
      <w:pPr>
        <w:pStyle w:val="ListParagraph"/>
        <w:numPr>
          <w:ilvl w:val="0"/>
          <w:numId w:val="8"/>
        </w:numPr>
        <w:spacing w:after="100" w:line="276"/>
      </w:pPr>
      <w:r>
        <w:rPr>
          <w:color w:val="1a1a1a"/>
          <w:sz w:val="21"/>
          <w:szCs w:val="21"/>
        </w:rPr>
        <w:t xml:space="preserve">Open the business bank account.</w:t>
      </w:r>
    </w:p>
    <w:p>
      <w:pPr>
        <w:pStyle w:val="ListParagraph"/>
        <w:numPr>
          <w:ilvl w:val="0"/>
          <w:numId w:val="8"/>
        </w:numPr>
        <w:spacing w:after="100" w:line="276"/>
      </w:pPr>
      <w:r>
        <w:rPr>
          <w:color w:val="1a1a1a"/>
          <w:sz w:val="21"/>
          <w:szCs w:val="21"/>
        </w:rPr>
        <w:t xml:space="preserve">Buy the domain and set up email on it.</w:t>
      </w:r>
    </w:p>
    <w:p>
      <w:pPr>
        <w:pStyle w:val="ListParagraph"/>
        <w:numPr>
          <w:ilvl w:val="0"/>
          <w:numId w:val="8"/>
        </w:numPr>
        <w:spacing w:after="100" w:line="276"/>
      </w:pPr>
      <w:r>
        <w:rPr>
          <w:color w:val="1a1a1a"/>
          <w:sz w:val="21"/>
          <w:szCs w:val="21"/>
        </w:rPr>
        <w:t xml:space="preserve">Register the Information Officer with the Information Regulator.</w:t>
      </w:r>
    </w:p>
    <w:p>
      <w:pPr>
        <w:pStyle w:val="ListParagraph"/>
        <w:numPr>
          <w:ilvl w:val="0"/>
          <w:numId w:val="8"/>
        </w:numPr>
        <w:spacing w:after="100" w:line="276"/>
      </w:pPr>
      <w:r>
        <w:rPr>
          <w:color w:val="1a1a1a"/>
          <w:sz w:val="21"/>
          <w:szCs w:val="21"/>
        </w:rPr>
        <w:t xml:space="preserve">Add the required legal particulars to one page on the site, and adjust the codebase check that currently forbids an address.</w:t>
      </w:r>
    </w:p>
    <w:p>
      <w:pPr>
        <w:pStyle w:val="ListParagraph"/>
        <w:numPr>
          <w:ilvl w:val="0"/>
          <w:numId w:val="8"/>
        </w:numPr>
        <w:spacing w:after="100" w:line="276"/>
      </w:pPr>
      <w:r>
        <w:rPr>
          <w:color w:val="1a1a1a"/>
          <w:sz w:val="21"/>
          <w:szCs w:val="21"/>
        </w:rPr>
        <w:t xml:space="preserve">Switch Paystack to live keys and make a real payment to yourself to prove it end to end.</w:t>
      </w:r>
    </w:p>
    <w:p>
      <w:pPr>
        <w:pStyle w:val="ListParagraph"/>
        <w:numPr>
          <w:ilvl w:val="0"/>
          <w:numId w:val="8"/>
        </w:numPr>
        <w:spacing w:after="100" w:line="276"/>
      </w:pPr>
      <w:r>
        <w:rPr>
          <w:color w:val="1a1a1a"/>
          <w:sz w:val="21"/>
          <w:szCs w:val="21"/>
        </w:rPr>
        <w:t xml:space="preserve">Move every vendor subscription onto the company card.</w:t>
      </w:r>
    </w:p>
    <w:p>
      <w:pPr>
        <w:pStyle w:val="ListParagraph"/>
        <w:numPr>
          <w:ilvl w:val="0"/>
          <w:numId w:val="8"/>
        </w:numPr>
        <w:spacing w:after="100" w:line="276"/>
      </w:pPr>
      <w:r>
        <w:rPr>
          <w:color w:val="1a1a1a"/>
          <w:sz w:val="21"/>
          <w:szCs w:val="21"/>
        </w:rPr>
        <w:t xml:space="preserve">File the trademark applications.</w:t>
      </w:r>
    </w:p>
    <w:p>
      <w:pPr>
        <w:pStyle w:val="Heading3"/>
        <w:spacing w:after="100" w:before="220"/>
      </w:pPr>
      <w:r>
        <w:rPr>
          <w:b/>
          <w:bCs/>
          <w:color w:val="047857"/>
          <w:sz w:val="22"/>
          <w:szCs w:val="22"/>
        </w:rPr>
        <w:t xml:space="preserve">Only then, the stores</w:t>
      </w:r>
    </w:p>
    <w:p>
      <w:pPr>
        <w:pStyle w:val="ListParagraph"/>
        <w:numPr>
          <w:ilvl w:val="0"/>
          <w:numId w:val="9"/>
        </w:numPr>
        <w:spacing w:after="100" w:line="276"/>
      </w:pPr>
      <w:r>
        <w:rPr>
          <w:color w:val="1a1a1a"/>
          <w:sz w:val="21"/>
          <w:szCs w:val="21"/>
        </w:rPr>
        <w:t xml:space="preserve">Decide route B or route C — that is, whether there will be an iPhone app at all this year.</w:t>
      </w:r>
    </w:p>
    <w:p>
      <w:pPr>
        <w:pStyle w:val="ListParagraph"/>
        <w:numPr>
          <w:ilvl w:val="0"/>
          <w:numId w:val="9"/>
        </w:numPr>
        <w:spacing w:after="100" w:line="276"/>
      </w:pPr>
      <w:r>
        <w:rPr>
          <w:color w:val="1a1a1a"/>
          <w:sz w:val="21"/>
          <w:szCs w:val="21"/>
        </w:rPr>
        <w:t xml:space="preserve">Open the Google Play developer account and verify the organisation.</w:t>
      </w:r>
    </w:p>
    <w:p>
      <w:pPr>
        <w:pStyle w:val="ListParagraph"/>
        <w:numPr>
          <w:ilvl w:val="0"/>
          <w:numId w:val="9"/>
        </w:numPr>
        <w:spacing w:after="100" w:line="276"/>
      </w:pPr>
      <w:r>
        <w:rPr>
          <w:color w:val="1a1a1a"/>
          <w:sz w:val="21"/>
          <w:szCs w:val="21"/>
        </w:rPr>
        <w:t xml:space="preserve">Build the Android app, run the closed test, submit.</w:t>
      </w:r>
    </w:p>
    <w:p>
      <w:pPr>
        <w:pStyle w:val="ListParagraph"/>
        <w:numPr>
          <w:ilvl w:val="0"/>
          <w:numId w:val="9"/>
        </w:numPr>
        <w:spacing w:after="100" w:line="276"/>
      </w:pPr>
      <w:r>
        <w:rPr>
          <w:color w:val="1a1a1a"/>
          <w:sz w:val="21"/>
          <w:szCs w:val="21"/>
        </w:rPr>
        <w:t xml:space="preserve">If iPhone: enrol in the Apple Developer Program, build the native pieces that get you past Guideline 4.2, add Sign in with Apple, wire In-App Purchase, and submit.</w:t>
      </w:r>
    </w:p>
    <w:tbl>
      <w:tblPr>
        <w:tblW w:type="dxa" w:w="9026"/>
        <w:tblBorders>
          <w:top w:val="single" w:color="047857" w:sz="2"/>
          <w:left w:val="single" w:color="047857" w:sz="12"/>
          <w:bottom w:val="single" w:color="047857" w:sz="2"/>
          <w:right w:val="single" w:color="047857" w:sz="2"/>
          <w:insideH w:val="none" w:color="auto" w:sz="0"/>
          <w:insideV w:val="none" w:color="auto" w:sz="0"/>
        </w:tblBorders>
      </w:tblPr>
      <w:tblGrid>
        <w:gridCol w:w="9026"/>
      </w:tblGrid>
      <w:tr>
        <w:trPr>
          <w:cantSplit/>
        </w:trPr>
        <w:tc>
          <w:tcPr>
            <w:tcW w:type="dxa" w:w="9026"/>
            <w:shd w:fill="ecfdf5" w:color="auto" w:val="clear"/>
            <w:tcMar>
              <w:top w:type="dxa" w:w="160"/>
              <w:left w:type="dxa" w:w="200"/>
              <w:bottom w:type="dxa" w:w="160"/>
              <w:right w:type="dxa" w:w="200"/>
            </w:tcMar>
          </w:tcPr>
          <w:p>
            <w:pPr>
              <w:spacing w:after="80"/>
            </w:pPr>
            <w:r>
              <w:rPr>
                <w:b/>
                <w:bCs/>
                <w:color w:val="047857"/>
                <w:sz w:val="21"/>
                <w:szCs w:val="21"/>
              </w:rPr>
              <w:t xml:space="preserve">A last piece of advice about sequencing</w:t>
            </w:r>
          </w:p>
          <w:p>
            <w:pPr>
              <w:spacing w:after="60" w:line="276"/>
            </w:pPr>
            <w:r>
              <w:rPr>
                <w:color w:val="1a1a1a"/>
                <w:sz w:val="20"/>
                <w:szCs w:val="20"/>
              </w:rPr>
              <w:t xml:space="preserve">Getting into the App Store is the most expensive and slowest thing in this document, and it is the only one that changes your economics — the commission on every in-app subscription, forever.</w:t>
            </w:r>
          </w:p>
          <w:p>
            <w:pPr>
              <w:spacing w:after="60" w:line="276"/>
            </w:pPr>
            <w:r>
              <w:rPr>
                <w:color w:val="1a1a1a"/>
                <w:sz w:val="20"/>
                <w:szCs w:val="20"/>
              </w:rPr>
              <w:t xml:space="preserve">Android and the web cost you almost nothing by comparison and reach most of the South African market. There is a strong case for shipping the website and an Android listing first, letting real customers tell you whether the phone is where they actually work, and paying Apple once you know.</w:t>
            </w:r>
          </w:p>
        </w:tc>
      </w:tr>
    </w:tbl>
    <w:p>
      <w:pPr>
        <w:pBdr>
          <w:bottom w:val="single" w:color="d1d5db" w:sz="6"/>
        </w:pBdr>
        <w:spacing w:after="200" w:before="200"/>
      </w:pPr>
    </w:p>
    <w:p>
      <w:pPr>
        <w:spacing w:before="120"/>
      </w:pPr>
      <w:r>
        <w:rPr>
          <w:i/>
          <w:iCs/>
          <w:color w:val="6b7280"/>
          <w:sz w:val="18"/>
          <w:szCs w:val="18"/>
        </w:rPr>
        <w:t xml:space="preserve">Prepared as working notes for FutureBox. Practical guidance, not legal or tax advice. Every fee and every store rule in this document must be verified against the official source before it is relied 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lvl w:ilvl="1" w15:tentative="1">
      <w:start w:val="1"/>
      <w:numFmt w:val="bullet"/>
      <w:lvlText w:val="–"/>
      <w:lvlJc w:val="left"/>
      <w:pPr>
        <w:ind w:left="863" w:hanging="273"/>
      </w:pPr>
    </w:lvl>
  </w:abstractNum>
  <w:abstractNum w:abstractNumId="3"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2026-09-04T14:15:01.759Z</dcterms:created>
  <dcterms:modified xsi:type="dcterms:W3CDTF">2026-09-04T14:15:01.760Z</dcterms:modified>
</cp:coreProperties>
</file>

<file path=docProps/custom.xml><?xml version="1.0" encoding="utf-8"?>
<Properties xmlns="http://schemas.openxmlformats.org/officeDocument/2006/custom-properties" xmlns:vt="http://schemas.openxmlformats.org/officeDocument/2006/docPropsVTypes"/>
</file>