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5F59" w:rsidRDefault="0078154C">
      <w:pPr>
        <w:spacing w:after="100"/>
        <w:jc w:val="center"/>
      </w:pPr>
      <w:r>
        <w:rPr>
          <w:b/>
          <w:bCs/>
          <w:color w:val="C19A6B"/>
          <w:sz w:val="18"/>
          <w:szCs w:val="18"/>
        </w:rPr>
        <w:t>CORPORATE EVENT INSIGHTS</w:t>
      </w:r>
    </w:p>
    <w:p w:rsidR="00A05F59" w:rsidRDefault="0078154C">
      <w:pPr>
        <w:pStyle w:val="Title"/>
      </w:pPr>
      <w:r>
        <w:t>Corporate Event Tents: Creating Professional Outdoor Venues in Dubai</w:t>
      </w:r>
    </w:p>
    <w:p w:rsidR="00A05F59" w:rsidRDefault="0078154C">
      <w:pPr>
        <w:spacing w:after="300"/>
        <w:jc w:val="center"/>
      </w:pPr>
      <w:r>
        <w:rPr>
          <w:color w:val="64748B"/>
          <w:sz w:val="20"/>
          <w:szCs w:val="20"/>
        </w:rPr>
        <w:t xml:space="preserve">By </w:t>
      </w:r>
      <w:r>
        <w:rPr>
          <w:b/>
          <w:bCs/>
          <w:color w:val="1E293B"/>
          <w:sz w:val="20"/>
          <w:szCs w:val="20"/>
        </w:rPr>
        <w:t>Tent Now Business Analyst</w:t>
      </w:r>
      <w:r w:rsidR="00200205">
        <w:rPr>
          <w:color w:val="64748B"/>
          <w:sz w:val="20"/>
          <w:szCs w:val="20"/>
        </w:rPr>
        <w:t xml:space="preserve"> | March 2026</w:t>
      </w:r>
    </w:p>
    <w:p w:rsidR="00A05F59" w:rsidRDefault="0078154C">
      <w:pPr>
        <w:spacing w:after="200" w:line="312" w:lineRule="auto"/>
      </w:pPr>
      <w:r>
        <w:rPr>
          <w:color w:val="1E293B"/>
        </w:rPr>
        <w:t>Dubai'</w:t>
      </w:r>
      <w:r>
        <w:rPr>
          <w:color w:val="1E293B"/>
        </w:rPr>
        <w:t>s corporate event landscape has undergone a remarkable transformation in recent years, with outdoor venues increasingly becoming the preferred choice for businesses seeking to create memorable experiences. As the emirate solidifies its position as the Midd</w:t>
      </w:r>
      <w:r>
        <w:rPr>
          <w:color w:val="1E293B"/>
        </w:rPr>
        <w:t>le East's premier business hub, the demand for sophisticated corporate event spaces has grown exponentially. Event tents have emerged as a versatile solution, offering companies the flexibility to create bespoke venues that perfectly align with their brand</w:t>
      </w:r>
      <w:r>
        <w:rPr>
          <w:color w:val="1E293B"/>
        </w:rPr>
        <w:t xml:space="preserve"> identity and event objectives. From product launches and conferences to team-building activities and executive retreats, professional tent structures provide the canvas upon which corporate visions come to life.</w:t>
      </w:r>
    </w:p>
    <w:p w:rsidR="00A05F59" w:rsidRDefault="0078154C">
      <w:pPr>
        <w:spacing w:after="200" w:line="312" w:lineRule="auto"/>
      </w:pPr>
      <w:r>
        <w:rPr>
          <w:color w:val="1E293B"/>
        </w:rPr>
        <w:t>The strategic advantages of outdoor corpora</w:t>
      </w:r>
      <w:r>
        <w:rPr>
          <w:color w:val="1E293B"/>
        </w:rPr>
        <w:t>te events extend far beyond aesthetic appeal. Research indicates that companies hosting events in unique outdoor settings report significantly higher attendee engagement rates, improved brand recall, and enhanced networking outcomes compared to traditional</w:t>
      </w:r>
      <w:r>
        <w:rPr>
          <w:color w:val="1E293B"/>
        </w:rPr>
        <w:t xml:space="preserve"> indoor venues. In Dubai's competitive business environment, where differentiation is paramount, the ability to create a distinctive event experience can translate directly into tangible business results. This comprehensive guide explores how corporate eve</w:t>
      </w:r>
      <w:r>
        <w:rPr>
          <w:color w:val="1E293B"/>
        </w:rPr>
        <w:t>nt tents are revolutionizing the events industry in Dubai, providing event planners and corporate decision-makers with actionable insights for maximizing their event investment.</w:t>
      </w:r>
    </w:p>
    <w:p w:rsidR="00A05F59" w:rsidRDefault="0078154C">
      <w:pPr>
        <w:pStyle w:val="Heading1"/>
      </w:pPr>
      <w:r>
        <w:t>1. The Rise of Outdoor Corporate Venues in Dubai</w:t>
      </w:r>
    </w:p>
    <w:p w:rsidR="00A05F59" w:rsidRDefault="0078154C">
      <w:pPr>
        <w:pStyle w:val="Heading2"/>
      </w:pPr>
      <w:r>
        <w:t>1.1 Market Dynamics and Growt</w:t>
      </w:r>
      <w:r>
        <w:t>h Drivers</w:t>
      </w:r>
    </w:p>
    <w:p w:rsidR="00A05F59" w:rsidRDefault="0078154C">
      <w:pPr>
        <w:spacing w:after="200" w:line="312" w:lineRule="auto"/>
      </w:pPr>
      <w:r>
        <w:rPr>
          <w:color w:val="1E293B"/>
        </w:rPr>
        <w:t>The corporate event industry in Dubai has experienced unprecedented growth, driven by the emirate's emergence as a global business destination and its strategic positioning as a gateway between East and West. According to recent industry reports,</w:t>
      </w:r>
      <w:r>
        <w:rPr>
          <w:color w:val="1E293B"/>
        </w:rPr>
        <w:t xml:space="preserve"> the UAE events market is projected to grow at a compound annual growth rate of 12.5% through 2027, with corporate events representing a significant portion of this expansion. This growth is fueled by several converging factors: the increasing number of mu</w:t>
      </w:r>
      <w:r>
        <w:rPr>
          <w:color w:val="1E293B"/>
        </w:rPr>
        <w:t>ltinational corporations establishing regional headquarters in Dubai, the rise of industry-specific conferences and exhibitions, and a growing appreciation for experiential marketing among businesses seeking to differentiate themselves in competitive marke</w:t>
      </w:r>
      <w:r>
        <w:rPr>
          <w:color w:val="1E293B"/>
        </w:rPr>
        <w:t>ts.</w:t>
      </w:r>
    </w:p>
    <w:p w:rsidR="00A05F59" w:rsidRDefault="0078154C">
      <w:pPr>
        <w:spacing w:after="200" w:line="312" w:lineRule="auto"/>
      </w:pPr>
      <w:r>
        <w:rPr>
          <w:color w:val="1E293B"/>
        </w:rPr>
        <w:t xml:space="preserve">Outdoor corporate events offer distinct advantages that indoor venues simply cannot replicate. The psychological impact of hosting an event under open skies, surrounded by Dubai's iconic skyline or desert landscapes, creates an immediate impression of </w:t>
      </w:r>
      <w:r>
        <w:rPr>
          <w:color w:val="1E293B"/>
        </w:rPr>
        <w:t>grandeur and possibility. Attendees consistently report higher levels of engagement and satisfaction at outdoor events, citing the refreshing change from conventional conference rooms and the enhanced opportunities for organic networking that open spaces f</w:t>
      </w:r>
      <w:r>
        <w:rPr>
          <w:color w:val="1E293B"/>
        </w:rPr>
        <w:t xml:space="preserve">acilitate. Furthermore, outdoor venues provide exceptional flexibility in </w:t>
      </w:r>
      <w:r>
        <w:rPr>
          <w:color w:val="1E293B"/>
        </w:rPr>
        <w:lastRenderedPageBreak/>
        <w:t>terms of capacity and layout, allowing event organizers to scale their events up or down without the constraints of fixed infrastructure.</w:t>
      </w:r>
    </w:p>
    <w:p w:rsidR="00A05F59" w:rsidRDefault="0078154C">
      <w:pPr>
        <w:pStyle w:val="Heading2"/>
      </w:pPr>
      <w:r>
        <w:t>1.2 The Strategic Value of Customizable Spac</w:t>
      </w:r>
      <w:r>
        <w:t>es</w:t>
      </w:r>
    </w:p>
    <w:p w:rsidR="00A05F59" w:rsidRDefault="0078154C">
      <w:pPr>
        <w:spacing w:after="200" w:line="312" w:lineRule="auto"/>
      </w:pPr>
      <w:r>
        <w:rPr>
          <w:color w:val="1E293B"/>
        </w:rPr>
        <w:t>Corporate event tents represent the pinnacle of venue customization, offering businesses the unprecedented ability to create environments that precisely reflect their brand identity and event objectives. Unlike traditional venues with fixed architecture</w:t>
      </w:r>
      <w:r>
        <w:rPr>
          <w:color w:val="1E293B"/>
        </w:rPr>
        <w:t xml:space="preserve"> and predetermined layouts, tent structures can be configured to accommodate virtually any vision, from intimate executive roundtables to large-scale product launches attended by thousands. This customization extends beyond physical dimensions to encompass</w:t>
      </w:r>
      <w:r>
        <w:rPr>
          <w:color w:val="1E293B"/>
        </w:rPr>
        <w:t xml:space="preserve"> lighting schemes, flooring options, climate control systems, and technological infrastructure—all tailored to create the optimal environment for achieving specific business outcomes.</w:t>
      </w:r>
    </w:p>
    <w:p w:rsidR="00A05F59" w:rsidRDefault="0078154C">
      <w:pPr>
        <w:spacing w:after="200" w:line="312" w:lineRule="auto"/>
      </w:pPr>
      <w:r>
        <w:rPr>
          <w:color w:val="1E293B"/>
        </w:rPr>
        <w:t>The financial implications of this flexibility are significant. Companie</w:t>
      </w:r>
      <w:r>
        <w:rPr>
          <w:color w:val="1E293B"/>
        </w:rPr>
        <w:t>s can optimize their event spend by paying only for the space they need, rather than committing to fixed venue sizes that may be too large or too small for their requirements. Additionally, the ability to transform any location into a branded corporate ven</w:t>
      </w:r>
      <w:r>
        <w:rPr>
          <w:color w:val="1E293B"/>
        </w:rPr>
        <w:t>ue—from beachfront properties to desert landscapes to urban rooftops—opens up creative possibilities that differentiate events from competitors and create lasting impressions on attendees. This strategic flexibility has made tent rentals an increasingly at</w:t>
      </w:r>
      <w:r>
        <w:rPr>
          <w:color w:val="1E293B"/>
        </w:rPr>
        <w:t>tractive option for forward-thinking event planners and corporate marketing teams.</w:t>
      </w:r>
    </w:p>
    <w:p w:rsidR="00A05F59" w:rsidRDefault="0078154C">
      <w:pPr>
        <w:pStyle w:val="Heading1"/>
      </w:pPr>
      <w:r>
        <w:t>2. Types of Corporate Event Tents for Business Applications</w:t>
      </w:r>
    </w:p>
    <w:p w:rsidR="00A05F59" w:rsidRDefault="0078154C">
      <w:pPr>
        <w:spacing w:after="200" w:line="312" w:lineRule="auto"/>
      </w:pPr>
      <w:r>
        <w:rPr>
          <w:color w:val="1E293B"/>
        </w:rPr>
        <w:t>Selecting the appropriate tent structure is a critical decision that impacts every aspect of event execution, fro</w:t>
      </w:r>
      <w:r>
        <w:rPr>
          <w:color w:val="1E293B"/>
        </w:rPr>
        <w:t>m attendee experience to operational logistics. Understanding the characteristics, advantages, and optimal use cases for each tent type enables event planners to make informed decisions that align with their specific event requirements and budget parameter</w:t>
      </w:r>
      <w:r>
        <w:rPr>
          <w:color w:val="1E293B"/>
        </w:rPr>
        <w: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50" w:type="dxa"/>
          <w:bottom w:w="100" w:type="dxa"/>
          <w:right w:w="150" w:type="dxa"/>
        </w:tblCellMar>
        <w:tblLook w:val="0000" w:firstRow="0" w:lastRow="0" w:firstColumn="0" w:lastColumn="0" w:noHBand="0" w:noVBand="0"/>
      </w:tblPr>
      <w:tblGrid>
        <w:gridCol w:w="1742"/>
        <w:gridCol w:w="3009"/>
        <w:gridCol w:w="4575"/>
      </w:tblGrid>
      <w:tr w:rsidR="00A05F59">
        <w:trPr>
          <w:tblHeader/>
        </w:trPr>
        <w:tc>
          <w:tcPr>
            <w:tcW w:w="0" w:type="auto"/>
            <w:tcBorders>
              <w:top w:val="single" w:sz="12" w:space="0" w:color="64748B"/>
              <w:left w:val="nil"/>
              <w:bottom w:val="single" w:sz="12" w:space="0" w:color="64748B"/>
              <w:right w:val="nil"/>
            </w:tcBorders>
            <w:shd w:val="clear" w:color="auto" w:fill="E8E4E0"/>
            <w:vAlign w:val="center"/>
          </w:tcPr>
          <w:p w:rsidR="00A05F59" w:rsidRDefault="0078154C">
            <w:pPr>
              <w:jc w:val="center"/>
            </w:pPr>
            <w:r>
              <w:rPr>
                <w:b/>
                <w:bCs/>
                <w:color w:val="020617"/>
                <w:sz w:val="21"/>
                <w:szCs w:val="21"/>
              </w:rPr>
              <w:t>Tent Type</w:t>
            </w:r>
          </w:p>
        </w:tc>
        <w:tc>
          <w:tcPr>
            <w:tcW w:w="0" w:type="auto"/>
            <w:tcBorders>
              <w:top w:val="single" w:sz="12" w:space="0" w:color="64748B"/>
              <w:left w:val="nil"/>
              <w:bottom w:val="single" w:sz="12" w:space="0" w:color="64748B"/>
              <w:right w:val="nil"/>
            </w:tcBorders>
            <w:shd w:val="clear" w:color="auto" w:fill="E8E4E0"/>
            <w:vAlign w:val="center"/>
          </w:tcPr>
          <w:p w:rsidR="00A05F59" w:rsidRDefault="0078154C">
            <w:pPr>
              <w:jc w:val="center"/>
            </w:pPr>
            <w:r>
              <w:rPr>
                <w:b/>
                <w:bCs/>
                <w:color w:val="020617"/>
                <w:sz w:val="21"/>
                <w:szCs w:val="21"/>
              </w:rPr>
              <w:t>Best For</w:t>
            </w:r>
          </w:p>
        </w:tc>
        <w:tc>
          <w:tcPr>
            <w:tcW w:w="0" w:type="auto"/>
            <w:tcBorders>
              <w:top w:val="single" w:sz="12" w:space="0" w:color="64748B"/>
              <w:left w:val="nil"/>
              <w:bottom w:val="single" w:sz="12" w:space="0" w:color="64748B"/>
              <w:right w:val="nil"/>
            </w:tcBorders>
            <w:shd w:val="clear" w:color="auto" w:fill="E8E4E0"/>
            <w:vAlign w:val="center"/>
          </w:tcPr>
          <w:p w:rsidR="00A05F59" w:rsidRDefault="0078154C">
            <w:pPr>
              <w:jc w:val="center"/>
            </w:pPr>
            <w:r>
              <w:rPr>
                <w:b/>
                <w:bCs/>
                <w:color w:val="020617"/>
                <w:sz w:val="21"/>
                <w:szCs w:val="21"/>
              </w:rPr>
              <w:t>Key Features</w:t>
            </w:r>
          </w:p>
        </w:tc>
      </w:tr>
      <w:tr w:rsidR="00A05F59">
        <w:tc>
          <w:tcPr>
            <w:tcW w:w="0" w:type="auto"/>
            <w:tcBorders>
              <w:top w:val="single" w:sz="12" w:space="0" w:color="64748B"/>
              <w:left w:val="nil"/>
              <w:bottom w:val="single" w:sz="12" w:space="0" w:color="64748B"/>
              <w:right w:val="nil"/>
            </w:tcBorders>
          </w:tcPr>
          <w:p w:rsidR="00A05F59" w:rsidRDefault="0078154C">
            <w:r>
              <w:rPr>
                <w:b/>
                <w:bCs/>
                <w:color w:val="1E293B"/>
                <w:sz w:val="20"/>
                <w:szCs w:val="20"/>
              </w:rPr>
              <w:t>Clear Span Marquee</w:t>
            </w:r>
          </w:p>
        </w:tc>
        <w:tc>
          <w:tcPr>
            <w:tcW w:w="0" w:type="auto"/>
            <w:tcBorders>
              <w:top w:val="single" w:sz="12" w:space="0" w:color="64748B"/>
              <w:left w:val="nil"/>
              <w:bottom w:val="single" w:sz="12" w:space="0" w:color="64748B"/>
              <w:right w:val="nil"/>
            </w:tcBorders>
          </w:tcPr>
          <w:p w:rsidR="00A05F59" w:rsidRDefault="0078154C">
            <w:r>
              <w:rPr>
                <w:color w:val="1E293B"/>
                <w:sz w:val="20"/>
                <w:szCs w:val="20"/>
              </w:rPr>
              <w:t>Large conferences, exhibitions, gala dinners</w:t>
            </w:r>
          </w:p>
        </w:tc>
        <w:tc>
          <w:tcPr>
            <w:tcW w:w="0" w:type="auto"/>
            <w:tcBorders>
              <w:top w:val="single" w:sz="12" w:space="0" w:color="64748B"/>
              <w:left w:val="nil"/>
              <w:bottom w:val="single" w:sz="12" w:space="0" w:color="64748B"/>
              <w:right w:val="nil"/>
            </w:tcBorders>
          </w:tcPr>
          <w:p w:rsidR="00A05F59" w:rsidRDefault="0078154C">
            <w:r>
              <w:rPr>
                <w:color w:val="1E293B"/>
                <w:sz w:val="20"/>
                <w:szCs w:val="20"/>
              </w:rPr>
              <w:t>Unobstructed interior, modular design, professional appearance, scalable capacity</w:t>
            </w:r>
          </w:p>
        </w:tc>
      </w:tr>
      <w:tr w:rsidR="00A05F59">
        <w:tc>
          <w:tcPr>
            <w:tcW w:w="0" w:type="auto"/>
            <w:tcBorders>
              <w:top w:val="single" w:sz="12" w:space="0" w:color="64748B"/>
              <w:left w:val="nil"/>
              <w:bottom w:val="single" w:sz="12" w:space="0" w:color="64748B"/>
              <w:right w:val="nil"/>
            </w:tcBorders>
          </w:tcPr>
          <w:p w:rsidR="00A05F59" w:rsidRDefault="0078154C">
            <w:r>
              <w:rPr>
                <w:b/>
                <w:bCs/>
                <w:color w:val="1E293B"/>
                <w:sz w:val="20"/>
                <w:szCs w:val="20"/>
              </w:rPr>
              <w:t>Pagoda Tent</w:t>
            </w:r>
          </w:p>
        </w:tc>
        <w:tc>
          <w:tcPr>
            <w:tcW w:w="0" w:type="auto"/>
            <w:tcBorders>
              <w:top w:val="single" w:sz="12" w:space="0" w:color="64748B"/>
              <w:left w:val="nil"/>
              <w:bottom w:val="single" w:sz="12" w:space="0" w:color="64748B"/>
              <w:right w:val="nil"/>
            </w:tcBorders>
          </w:tcPr>
          <w:p w:rsidR="00A05F59" w:rsidRDefault="0078154C">
            <w:r>
              <w:rPr>
                <w:color w:val="1E293B"/>
                <w:sz w:val="20"/>
                <w:szCs w:val="20"/>
              </w:rPr>
              <w:t>VIP areas, product displays, reception spaces</w:t>
            </w:r>
          </w:p>
        </w:tc>
        <w:tc>
          <w:tcPr>
            <w:tcW w:w="0" w:type="auto"/>
            <w:tcBorders>
              <w:top w:val="single" w:sz="12" w:space="0" w:color="64748B"/>
              <w:left w:val="nil"/>
              <w:bottom w:val="single" w:sz="12" w:space="0" w:color="64748B"/>
              <w:right w:val="nil"/>
            </w:tcBorders>
          </w:tcPr>
          <w:p w:rsidR="00A05F59" w:rsidRDefault="0078154C">
            <w:r>
              <w:rPr>
                <w:color w:val="1E293B"/>
                <w:sz w:val="20"/>
                <w:szCs w:val="20"/>
              </w:rPr>
              <w:t>Elegant peaked roof, premium aesthetics, versatile sizing, quick installation</w:t>
            </w:r>
          </w:p>
        </w:tc>
      </w:tr>
      <w:tr w:rsidR="00A05F59">
        <w:tc>
          <w:tcPr>
            <w:tcW w:w="0" w:type="auto"/>
            <w:tcBorders>
              <w:top w:val="single" w:sz="12" w:space="0" w:color="64748B"/>
              <w:left w:val="nil"/>
              <w:bottom w:val="single" w:sz="12" w:space="0" w:color="64748B"/>
              <w:right w:val="nil"/>
            </w:tcBorders>
          </w:tcPr>
          <w:p w:rsidR="00A05F59" w:rsidRDefault="0078154C">
            <w:r>
              <w:rPr>
                <w:b/>
                <w:bCs/>
                <w:color w:val="1E293B"/>
                <w:sz w:val="20"/>
                <w:szCs w:val="20"/>
              </w:rPr>
              <w:t>Arabic Majlis Tent</w:t>
            </w:r>
          </w:p>
        </w:tc>
        <w:tc>
          <w:tcPr>
            <w:tcW w:w="0" w:type="auto"/>
            <w:tcBorders>
              <w:top w:val="single" w:sz="12" w:space="0" w:color="64748B"/>
              <w:left w:val="nil"/>
              <w:bottom w:val="single" w:sz="12" w:space="0" w:color="64748B"/>
              <w:right w:val="nil"/>
            </w:tcBorders>
          </w:tcPr>
          <w:p w:rsidR="00A05F59" w:rsidRDefault="0078154C">
            <w:r>
              <w:rPr>
                <w:color w:val="1E293B"/>
                <w:sz w:val="20"/>
                <w:szCs w:val="20"/>
              </w:rPr>
              <w:t>Cultural events, executive meetings, VIP lounges</w:t>
            </w:r>
          </w:p>
        </w:tc>
        <w:tc>
          <w:tcPr>
            <w:tcW w:w="0" w:type="auto"/>
            <w:tcBorders>
              <w:top w:val="single" w:sz="12" w:space="0" w:color="64748B"/>
              <w:left w:val="nil"/>
              <w:bottom w:val="single" w:sz="12" w:space="0" w:color="64748B"/>
              <w:right w:val="nil"/>
            </w:tcBorders>
          </w:tcPr>
          <w:p w:rsidR="00A05F59" w:rsidRDefault="0078154C">
            <w:r>
              <w:rPr>
                <w:color w:val="1E293B"/>
                <w:sz w:val="20"/>
                <w:szCs w:val="20"/>
              </w:rPr>
              <w:t>Traditional design, cultural authenticity, climate control compatible, customizable interiors</w:t>
            </w:r>
          </w:p>
        </w:tc>
      </w:tr>
      <w:tr w:rsidR="00A05F59">
        <w:tc>
          <w:tcPr>
            <w:tcW w:w="0" w:type="auto"/>
            <w:tcBorders>
              <w:top w:val="single" w:sz="12" w:space="0" w:color="64748B"/>
              <w:left w:val="nil"/>
              <w:bottom w:val="single" w:sz="12" w:space="0" w:color="64748B"/>
              <w:right w:val="nil"/>
            </w:tcBorders>
          </w:tcPr>
          <w:p w:rsidR="00A05F59" w:rsidRDefault="0078154C">
            <w:r>
              <w:rPr>
                <w:b/>
                <w:bCs/>
                <w:color w:val="1E293B"/>
                <w:sz w:val="20"/>
                <w:szCs w:val="20"/>
              </w:rPr>
              <w:t>Transparent Te</w:t>
            </w:r>
            <w:r>
              <w:rPr>
                <w:b/>
                <w:bCs/>
                <w:color w:val="1E293B"/>
                <w:sz w:val="20"/>
                <w:szCs w:val="20"/>
              </w:rPr>
              <w:t>nt</w:t>
            </w:r>
          </w:p>
        </w:tc>
        <w:tc>
          <w:tcPr>
            <w:tcW w:w="0" w:type="auto"/>
            <w:tcBorders>
              <w:top w:val="single" w:sz="12" w:space="0" w:color="64748B"/>
              <w:left w:val="nil"/>
              <w:bottom w:val="single" w:sz="12" w:space="0" w:color="64748B"/>
              <w:right w:val="nil"/>
            </w:tcBorders>
          </w:tcPr>
          <w:p w:rsidR="00A05F59" w:rsidRDefault="0078154C">
            <w:r>
              <w:rPr>
                <w:color w:val="1E293B"/>
                <w:sz w:val="20"/>
                <w:szCs w:val="20"/>
              </w:rPr>
              <w:t>Evening events, brand launches, networking functions</w:t>
            </w:r>
          </w:p>
        </w:tc>
        <w:tc>
          <w:tcPr>
            <w:tcW w:w="0" w:type="auto"/>
            <w:tcBorders>
              <w:top w:val="single" w:sz="12" w:space="0" w:color="64748B"/>
              <w:left w:val="nil"/>
              <w:bottom w:val="single" w:sz="12" w:space="0" w:color="64748B"/>
              <w:right w:val="nil"/>
            </w:tcBorders>
          </w:tcPr>
          <w:p w:rsidR="00A05F59" w:rsidRDefault="0078154C">
            <w:r>
              <w:rPr>
                <w:color w:val="1E293B"/>
                <w:sz w:val="20"/>
                <w:szCs w:val="20"/>
              </w:rPr>
              <w:t>360-degree visibility, modern aesthetic, natural lighting, high visual impact</w:t>
            </w:r>
          </w:p>
        </w:tc>
      </w:tr>
      <w:tr w:rsidR="00A05F59">
        <w:tc>
          <w:tcPr>
            <w:tcW w:w="0" w:type="auto"/>
            <w:tcBorders>
              <w:top w:val="single" w:sz="12" w:space="0" w:color="64748B"/>
              <w:left w:val="nil"/>
              <w:bottom w:val="single" w:sz="12" w:space="0" w:color="64748B"/>
              <w:right w:val="nil"/>
            </w:tcBorders>
          </w:tcPr>
          <w:p w:rsidR="00A05F59" w:rsidRDefault="0078154C">
            <w:r>
              <w:rPr>
                <w:b/>
                <w:bCs/>
                <w:color w:val="1E293B"/>
                <w:sz w:val="20"/>
                <w:szCs w:val="20"/>
              </w:rPr>
              <w:t>Exhibition Tent</w:t>
            </w:r>
          </w:p>
        </w:tc>
        <w:tc>
          <w:tcPr>
            <w:tcW w:w="0" w:type="auto"/>
            <w:tcBorders>
              <w:top w:val="single" w:sz="12" w:space="0" w:color="64748B"/>
              <w:left w:val="nil"/>
              <w:bottom w:val="single" w:sz="12" w:space="0" w:color="64748B"/>
              <w:right w:val="nil"/>
            </w:tcBorders>
          </w:tcPr>
          <w:p w:rsidR="00A05F59" w:rsidRDefault="0078154C">
            <w:r>
              <w:rPr>
                <w:color w:val="1E293B"/>
                <w:sz w:val="20"/>
                <w:szCs w:val="20"/>
              </w:rPr>
              <w:t>Trade shows, product launches, industry expos</w:t>
            </w:r>
          </w:p>
        </w:tc>
        <w:tc>
          <w:tcPr>
            <w:tcW w:w="0" w:type="auto"/>
            <w:tcBorders>
              <w:top w:val="single" w:sz="12" w:space="0" w:color="64748B"/>
              <w:left w:val="nil"/>
              <w:bottom w:val="single" w:sz="12" w:space="0" w:color="64748B"/>
              <w:right w:val="nil"/>
            </w:tcBorders>
          </w:tcPr>
          <w:p w:rsidR="00A05F59" w:rsidRDefault="0078154C">
            <w:r>
              <w:rPr>
                <w:color w:val="1E293B"/>
                <w:sz w:val="20"/>
                <w:szCs w:val="20"/>
              </w:rPr>
              <w:t>Expandable sections, branding integration, electrical infrastructure, multiple access points</w:t>
            </w:r>
          </w:p>
        </w:tc>
      </w:tr>
    </w:tbl>
    <w:p w:rsidR="00A05F59" w:rsidRDefault="0078154C">
      <w:pPr>
        <w:spacing w:before="100" w:after="200"/>
        <w:jc w:val="center"/>
      </w:pPr>
      <w:r>
        <w:rPr>
          <w:i/>
          <w:iCs/>
          <w:color w:val="64748B"/>
          <w:sz w:val="18"/>
          <w:szCs w:val="18"/>
        </w:rPr>
        <w:t>Table 1: Corporate Event Tent Types and Applications</w:t>
      </w:r>
    </w:p>
    <w:p w:rsidR="00A05F59" w:rsidRDefault="0078154C">
      <w:pPr>
        <w:pStyle w:val="Heading2"/>
      </w:pPr>
      <w:r>
        <w:t>2.1 Clear Span Marquees: The Corporate Standard</w:t>
      </w:r>
    </w:p>
    <w:p w:rsidR="00A05F59" w:rsidRDefault="0078154C">
      <w:pPr>
        <w:spacing w:after="200" w:line="312" w:lineRule="auto"/>
      </w:pPr>
      <w:r>
        <w:rPr>
          <w:color w:val="1E293B"/>
        </w:rPr>
        <w:lastRenderedPageBreak/>
        <w:t>Clear span marquees have established themselves as the gold standard for corporate events in Dubai, offering an unmatched combination of spaciousness, professionalism, and versatility. These structures feature an innovative aluminum frame design that elimi</w:t>
      </w:r>
      <w:r>
        <w:rPr>
          <w:color w:val="1E293B"/>
        </w:rPr>
        <w:t xml:space="preserve">nates the need for interior support columns, creating vast, unobstructed spaces that can accommodate everything from theater-style presentations to elaborate gala dinners. The absence of center poles not only maximizes usable floor space but also provides </w:t>
      </w:r>
      <w:r>
        <w:rPr>
          <w:color w:val="1E293B"/>
        </w:rPr>
        <w:t>unobstructed sightlines for presentations and stage performances, ensuring that every attendee has an optimal viewing experience regardless of their position within the venue.</w:t>
      </w:r>
    </w:p>
    <w:p w:rsidR="00A05F59" w:rsidRDefault="0078154C">
      <w:pPr>
        <w:spacing w:after="200" w:line="312" w:lineRule="auto"/>
      </w:pPr>
      <w:r>
        <w:rPr>
          <w:color w:val="1E293B"/>
        </w:rPr>
        <w:t>The modular nature of clear span marquees represents a significant advantage for</w:t>
      </w:r>
      <w:r>
        <w:rPr>
          <w:color w:val="1E293B"/>
        </w:rPr>
        <w:t xml:space="preserve"> corporate event planners. These structures can be expanded or contracted in increments, allowing organizers to precisely match venue capacity to anticipated attendance. For multi-day conferences or exhibitions, the ability to reconfigure spaces between se</w:t>
      </w:r>
      <w:r>
        <w:rPr>
          <w:color w:val="1E293B"/>
        </w:rPr>
        <w:t>ssions provides invaluable operational flexibility. Additionally, clear span marquees can be fitted with a comprehensive range of accessories including glass walls, solid walls, hard flooring systems, and integrated climate control—transforming a basic str</w:t>
      </w:r>
      <w:r>
        <w:rPr>
          <w:color w:val="1E293B"/>
        </w:rPr>
        <w:t>ucture into a fully functional corporate venue that rivals permanent facilities in comfort and sophistication.</w:t>
      </w:r>
    </w:p>
    <w:p w:rsidR="00A05F59" w:rsidRDefault="0078154C">
      <w:pPr>
        <w:pStyle w:val="Heading2"/>
      </w:pPr>
      <w:r>
        <w:t>2.2 Climate Control: Essential for Dubai's Environment</w:t>
      </w:r>
    </w:p>
    <w:p w:rsidR="00A05F59" w:rsidRDefault="0078154C">
      <w:pPr>
        <w:spacing w:after="200" w:line="312" w:lineRule="auto"/>
      </w:pPr>
      <w:r>
        <w:rPr>
          <w:color w:val="1E293B"/>
        </w:rPr>
        <w:t>Dubai's climate presents unique challenges for outdoor corporate events, with summer tempe</w:t>
      </w:r>
      <w:r>
        <w:rPr>
          <w:color w:val="1E293B"/>
        </w:rPr>
        <w:t>ratures regularly exceeding 40°C (104°F) and humidity levels that can make outdoor activities uncomfortable or impractical during certain periods. However, these climatic considerations need not preclude outdoor events, as modern tent technology offers sop</w:t>
      </w:r>
      <w:r>
        <w:rPr>
          <w:color w:val="1E293B"/>
        </w:rPr>
        <w:t>histicated climate control solutions that maintain comfortable interior environments regardless of external conditions. Professional tent rental companies in Dubai have developed integrated cooling systems specifically designed for tent structures, combini</w:t>
      </w:r>
      <w:r>
        <w:rPr>
          <w:color w:val="1E293B"/>
        </w:rPr>
        <w:t>ng powerful air conditioning units with strategically positioned ductwork to ensure uniform temperature distribution throughout the venue.</w:t>
      </w:r>
    </w:p>
    <w:p w:rsidR="00A05F59" w:rsidRDefault="0078154C">
      <w:pPr>
        <w:spacing w:after="200" w:line="312" w:lineRule="auto"/>
      </w:pPr>
      <w:r>
        <w:rPr>
          <w:color w:val="1E293B"/>
        </w:rPr>
        <w:t>The investment in climate control infrastructure yields substantial returns in terms of attendee comfort and event su</w:t>
      </w:r>
      <w:r>
        <w:rPr>
          <w:color w:val="1E293B"/>
        </w:rPr>
        <w:t>ccess. Research consistently demonstrates that thermal comfort directly correlates with cognitive function, engagement levels, and overall satisfaction. Corporate events represent significant investments of time and resources, and ensuring that attendees r</w:t>
      </w:r>
      <w:r>
        <w:rPr>
          <w:color w:val="1E293B"/>
        </w:rPr>
        <w:t>emain comfortable throughout the duration of the event is essential for maximizing return on investment. Professional tent providers in Dubai have refined their climate control capabilities through years of experience, developing systems that maintain temp</w:t>
      </w:r>
      <w:r>
        <w:rPr>
          <w:color w:val="1E293B"/>
        </w:rPr>
        <w:t>eratures 15-20°C cooler than ambient conditions while managing humidity levels for optimal comfort.</w:t>
      </w:r>
    </w:p>
    <w:p w:rsidR="00A05F59" w:rsidRDefault="0078154C">
      <w:pPr>
        <w:pStyle w:val="Heading1"/>
      </w:pPr>
      <w:r>
        <w:t>3. Case Studies: Corporate Event Success Stories</w:t>
      </w:r>
    </w:p>
    <w:p w:rsidR="00A05F59" w:rsidRDefault="0078154C">
      <w:pPr>
        <w:spacing w:after="200" w:line="312" w:lineRule="auto"/>
      </w:pPr>
      <w:r>
        <w:rPr>
          <w:color w:val="1E293B"/>
        </w:rPr>
        <w:t>Examining real-world corporate event executions provides valuable insights into best practices, common chal</w:t>
      </w:r>
      <w:r>
        <w:rPr>
          <w:color w:val="1E293B"/>
        </w:rPr>
        <w:t>lenges, and the measurable impact that professional tent solutions can deliver. The following case studies illustrate how leading organizations have leveraged tent rentals to create exceptional corporate event experiences in Dubai.</w:t>
      </w:r>
    </w:p>
    <w:p w:rsidR="00A05F59" w:rsidRDefault="0078154C">
      <w:pPr>
        <w:pStyle w:val="Heading2"/>
      </w:pPr>
      <w:r>
        <w:t>3.1 Case Study: Regional</w:t>
      </w:r>
      <w:r w:rsidR="00200205">
        <w:t xml:space="preserve"> Tech Summit 2025</w:t>
      </w:r>
      <w:bookmarkStart w:id="0" w:name="_GoBack"/>
      <w:bookmarkEnd w:id="0"/>
    </w:p>
    <w:p w:rsidR="00A05F59" w:rsidRDefault="0078154C">
      <w:pPr>
        <w:spacing w:after="150" w:line="312" w:lineRule="auto"/>
      </w:pPr>
      <w:r>
        <w:rPr>
          <w:b/>
          <w:bCs/>
          <w:color w:val="020617"/>
        </w:rPr>
        <w:lastRenderedPageBreak/>
        <w:t xml:space="preserve">Client Profile: </w:t>
      </w:r>
      <w:r>
        <w:rPr>
          <w:color w:val="1E293B"/>
        </w:rPr>
        <w:t>A multinational technology corporation hosting their annual Middle East partner summit, bringing together 850 delegates from 23 countries for a three-day conference featuring keynote presentations, breakout sessions, and n</w:t>
      </w:r>
      <w:r>
        <w:rPr>
          <w:color w:val="1E293B"/>
        </w:rPr>
        <w:t>etworking events.</w:t>
      </w:r>
    </w:p>
    <w:p w:rsidR="00A05F59" w:rsidRDefault="0078154C">
      <w:pPr>
        <w:spacing w:after="150" w:line="312" w:lineRule="auto"/>
      </w:pPr>
      <w:r>
        <w:rPr>
          <w:b/>
          <w:bCs/>
          <w:color w:val="020617"/>
        </w:rPr>
        <w:t xml:space="preserve">Challenge: </w:t>
      </w:r>
      <w:r>
        <w:rPr>
          <w:color w:val="1E293B"/>
        </w:rPr>
        <w:t>The client required a venue that could accommodate multiple concurrent sessions while maintaining a cohesive event experience. Traditional conference facilities could not offer the flexibility to create distinct zones for diffe</w:t>
      </w:r>
      <w:r>
        <w:rPr>
          <w:color w:val="1E293B"/>
        </w:rPr>
        <w:t>rent activities, and the client wanted to showcase their commitment to innovation through a unique venue selection that would differentiate their event from competitors.</w:t>
      </w:r>
    </w:p>
    <w:p w:rsidR="00A05F59" w:rsidRDefault="0078154C">
      <w:pPr>
        <w:spacing w:after="150" w:line="312" w:lineRule="auto"/>
      </w:pPr>
      <w:r>
        <w:rPr>
          <w:b/>
          <w:bCs/>
          <w:color w:val="020617"/>
        </w:rPr>
        <w:t xml:space="preserve">Solution: </w:t>
      </w:r>
      <w:r>
        <w:rPr>
          <w:color w:val="1E293B"/>
        </w:rPr>
        <w:t>A 2,500 square meter clear span marquee complex was configured with multiple</w:t>
      </w:r>
      <w:r>
        <w:rPr>
          <w:color w:val="1E293B"/>
        </w:rPr>
        <w:t xml:space="preserve"> interconnected zones: a main auditorium seating 600, four breakout rooms accommodating 80 participants each, an exhibition area for 25 partner booths, and a dedicated networking lounge. Climate control systems maintained 22°C throughout despite external t</w:t>
      </w:r>
      <w:r>
        <w:rPr>
          <w:color w:val="1E293B"/>
        </w:rPr>
        <w:t>emperatures of 38°C. Custom branding was integrated throughout the structure, with the client's corporate colors applied to exterior walls and interior draping.</w:t>
      </w:r>
    </w:p>
    <w:p w:rsidR="00A05F59" w:rsidRDefault="0078154C">
      <w:pPr>
        <w:spacing w:after="200" w:line="312" w:lineRule="auto"/>
      </w:pPr>
      <w:r>
        <w:rPr>
          <w:b/>
          <w:bCs/>
          <w:color w:val="020617"/>
        </w:rPr>
        <w:t xml:space="preserve">Results: </w:t>
      </w:r>
      <w:r>
        <w:rPr>
          <w:color w:val="1E293B"/>
        </w:rPr>
        <w:t>Post-event surveys revealed a 94% satisfaction rate among attendees, with the venue sp</w:t>
      </w:r>
      <w:r>
        <w:rPr>
          <w:color w:val="1E293B"/>
        </w:rPr>
        <w:t xml:space="preserve">ecifically cited as a highlight by 78% of respondents. The unique outdoor-indoor environment created networking opportunities that resulted in 47 documented partnership discussions during the event. The client reported a 35% increase in partner engagement </w:t>
      </w:r>
      <w:r>
        <w:rPr>
          <w:color w:val="1E293B"/>
        </w:rPr>
        <w:t>compared to their previous indoor event, attributing the improvement to the stimulating environment and superior traffic flow enabled by the tent configuration.</w:t>
      </w:r>
    </w:p>
    <w:p w:rsidR="00A05F59" w:rsidRDefault="0078154C">
      <w:pPr>
        <w:pStyle w:val="Heading2"/>
      </w:pPr>
      <w:r>
        <w:t>3.2 Case Study: Luxury Brand Product Launch</w:t>
      </w:r>
    </w:p>
    <w:p w:rsidR="00A05F59" w:rsidRDefault="0078154C">
      <w:pPr>
        <w:spacing w:after="150" w:line="312" w:lineRule="auto"/>
      </w:pPr>
      <w:r>
        <w:rPr>
          <w:b/>
          <w:bCs/>
          <w:color w:val="020617"/>
        </w:rPr>
        <w:t xml:space="preserve">Client Profile: </w:t>
      </w:r>
      <w:r>
        <w:rPr>
          <w:color w:val="1E293B"/>
        </w:rPr>
        <w:t>A European luxury automotive manufa</w:t>
      </w:r>
      <w:r>
        <w:rPr>
          <w:color w:val="1E293B"/>
        </w:rPr>
        <w:t>cturer launching their latest model to Middle East distributors, VIP clients, and media representatives. The event needed to reflect the brand's premium positioning while creating an immersive brand experience.</w:t>
      </w:r>
    </w:p>
    <w:p w:rsidR="00A05F59" w:rsidRDefault="0078154C">
      <w:pPr>
        <w:spacing w:after="150" w:line="312" w:lineRule="auto"/>
      </w:pPr>
      <w:r>
        <w:rPr>
          <w:b/>
          <w:bCs/>
          <w:color w:val="020617"/>
        </w:rPr>
        <w:t xml:space="preserve">Challenge: </w:t>
      </w:r>
      <w:r>
        <w:rPr>
          <w:color w:val="1E293B"/>
        </w:rPr>
        <w:t>The client required a venue that c</w:t>
      </w:r>
      <w:r>
        <w:rPr>
          <w:color w:val="1E293B"/>
        </w:rPr>
        <w:t>ould accommodate vehicle displays, presentation areas, dining facilities, and entertainment—all while maintaining an atmosphere of exclusivity and sophistication. The location needed to offer dramatic views and photo opportunities that would generate socia</w:t>
      </w:r>
      <w:r>
        <w:rPr>
          <w:color w:val="1E293B"/>
        </w:rPr>
        <w:t>l media engagement and press coverage.</w:t>
      </w:r>
    </w:p>
    <w:p w:rsidR="00A05F59" w:rsidRDefault="0078154C">
      <w:pPr>
        <w:spacing w:after="150" w:line="312" w:lineRule="auto"/>
      </w:pPr>
      <w:r>
        <w:rPr>
          <w:b/>
          <w:bCs/>
          <w:color w:val="020617"/>
        </w:rPr>
        <w:t xml:space="preserve">Solution: </w:t>
      </w:r>
      <w:r>
        <w:rPr>
          <w:color w:val="1E293B"/>
        </w:rPr>
        <w:t xml:space="preserve">A transparent marquee structure was erected on a waterfront location with panoramic views of Dubai Marina. The transparent design allowed natural light during the afternoon presentation and created stunning </w:t>
      </w:r>
      <w:r>
        <w:rPr>
          <w:color w:val="1E293B"/>
        </w:rPr>
        <w:t>visual effects as the sun set. Interior lighting was programmed to transition from daylight-friendly illumination to dramatic evening ambiance. Red carpet entry, valet parking services, and coordinated security created a complete luxury experience from arr</w:t>
      </w:r>
      <w:r>
        <w:rPr>
          <w:color w:val="1E293B"/>
        </w:rPr>
        <w:t>ival.</w:t>
      </w:r>
    </w:p>
    <w:p w:rsidR="00A05F59" w:rsidRDefault="0078154C">
      <w:pPr>
        <w:spacing w:after="200" w:line="312" w:lineRule="auto"/>
      </w:pPr>
      <w:r>
        <w:rPr>
          <w:b/>
          <w:bCs/>
          <w:color w:val="020617"/>
        </w:rPr>
        <w:t xml:space="preserve">Results: </w:t>
      </w:r>
      <w:r>
        <w:rPr>
          <w:color w:val="1E293B"/>
        </w:rPr>
        <w:t xml:space="preserve">The event generated significant media coverage across 34 regional publications, with the venue featured prominently in event photography. Social media monitoring tracked over 2,800 event-related posts during the launch evening, representing </w:t>
      </w:r>
      <w:r>
        <w:rPr>
          <w:color w:val="1E293B"/>
        </w:rPr>
        <w:t>a 220% increase compared to the brand's previous product launch. Pre-orders from attending distributors exceeded projections by 40%, with multiple dealers citing the memorable event experience as a factor in their commitment decisions.</w:t>
      </w:r>
    </w:p>
    <w:p w:rsidR="00A05F59" w:rsidRDefault="0078154C">
      <w:pPr>
        <w:pStyle w:val="Heading2"/>
      </w:pPr>
      <w:r>
        <w:lastRenderedPageBreak/>
        <w:t>3.3 Case Study: Corp</w:t>
      </w:r>
      <w:r>
        <w:t>orate Annual Gala Dinner</w:t>
      </w:r>
    </w:p>
    <w:p w:rsidR="00A05F59" w:rsidRDefault="0078154C">
      <w:pPr>
        <w:spacing w:after="150" w:line="312" w:lineRule="auto"/>
      </w:pPr>
      <w:r>
        <w:rPr>
          <w:b/>
          <w:bCs/>
          <w:color w:val="020617"/>
        </w:rPr>
        <w:t xml:space="preserve">Client Profile: </w:t>
      </w:r>
      <w:r>
        <w:rPr>
          <w:color w:val="1E293B"/>
        </w:rPr>
        <w:t>A leading UAE-based conglomerate hosting their annual employee recognition gala for 1,200 employees and their spouses, celebrating a record-breaking fiscal year and honoring outstanding performers across their diver</w:t>
      </w:r>
      <w:r>
        <w:rPr>
          <w:color w:val="1E293B"/>
        </w:rPr>
        <w:t>se business units.</w:t>
      </w:r>
    </w:p>
    <w:p w:rsidR="00A05F59" w:rsidRDefault="0078154C">
      <w:pPr>
        <w:spacing w:after="150" w:line="312" w:lineRule="auto"/>
      </w:pPr>
      <w:r>
        <w:rPr>
          <w:b/>
          <w:bCs/>
          <w:color w:val="020617"/>
        </w:rPr>
        <w:t xml:space="preserve">Challenge: </w:t>
      </w:r>
      <w:r>
        <w:rPr>
          <w:color w:val="1E293B"/>
        </w:rPr>
        <w:t>The client wanted to create an unforgettable experience that would reinforce company culture, celebrate achievements, and demonstrate appreciation for employee contributions. Budget constraints required a solution that could d</w:t>
      </w:r>
      <w:r>
        <w:rPr>
          <w:color w:val="1E293B"/>
        </w:rPr>
        <w:t>eliver high visual impact without the premium costs associated with luxury hotel ballrooms.</w:t>
      </w:r>
    </w:p>
    <w:p w:rsidR="00A05F59" w:rsidRDefault="0078154C">
      <w:pPr>
        <w:spacing w:after="150" w:line="312" w:lineRule="auto"/>
      </w:pPr>
      <w:r>
        <w:rPr>
          <w:b/>
          <w:bCs/>
          <w:color w:val="020617"/>
        </w:rPr>
        <w:t xml:space="preserve">Solution: </w:t>
      </w:r>
      <w:r>
        <w:rPr>
          <w:color w:val="1E293B"/>
        </w:rPr>
        <w:t>A custom-designed tent venue was created combining a 1,800 square meter clear span marquee with elegant interior transformations. The space featured tiere</w:t>
      </w:r>
      <w:r>
        <w:rPr>
          <w:color w:val="1E293B"/>
        </w:rPr>
        <w:t>d seating for the awards ceremony, convertible to round tables for dinner service. Professional stage production, LED walls, and coordinated audiovisual systems created a theatrical atmosphere. The flexibility of the tent venue allowed for dramatic room tr</w:t>
      </w:r>
      <w:r>
        <w:rPr>
          <w:color w:val="1E293B"/>
        </w:rPr>
        <w:t>ansformations between ceremony and celebration phases—something impossible in fixed venues.</w:t>
      </w:r>
    </w:p>
    <w:p w:rsidR="00A05F59" w:rsidRDefault="0078154C">
      <w:pPr>
        <w:spacing w:after="200" w:line="312" w:lineRule="auto"/>
      </w:pPr>
      <w:r>
        <w:rPr>
          <w:b/>
          <w:bCs/>
          <w:color w:val="020617"/>
        </w:rPr>
        <w:t xml:space="preserve">Results: </w:t>
      </w:r>
      <w:r>
        <w:rPr>
          <w:color w:val="1E293B"/>
        </w:rPr>
        <w:t>Employee satisfaction surveys conducted post-event showed a 28% improvement in engagement scores compared to the previous quarter. The company achieved sig</w:t>
      </w:r>
      <w:r>
        <w:rPr>
          <w:color w:val="1E293B"/>
        </w:rPr>
        <w:t>nificant cost savings—estimated at 40% compared to equivalent hotel ballroom packages—while delivering an experience that employees rated as "exceptional" or "outstanding" by 89% of respondents. The success of the event has led to the tent venue becoming t</w:t>
      </w:r>
      <w:r>
        <w:rPr>
          <w:color w:val="1E293B"/>
        </w:rPr>
        <w:t>he company's standard for major corporate gatherings.</w:t>
      </w:r>
    </w:p>
    <w:p w:rsidR="00A05F59" w:rsidRDefault="0078154C">
      <w:pPr>
        <w:pStyle w:val="Heading1"/>
      </w:pPr>
      <w:r>
        <w:t>4. ROI Considerations for Corporate Event Tent Rentals</w:t>
      </w:r>
    </w:p>
    <w:p w:rsidR="00A05F59" w:rsidRDefault="0078154C">
      <w:pPr>
        <w:spacing w:after="200" w:line="312" w:lineRule="auto"/>
      </w:pPr>
      <w:r>
        <w:rPr>
          <w:color w:val="1E293B"/>
        </w:rPr>
        <w:t>Corporate event investments must be justified through measurable returns, and tent rentals offer multiple pathways to positive ROI that extend beyo</w:t>
      </w:r>
      <w:r>
        <w:rPr>
          <w:color w:val="1E293B"/>
        </w:rPr>
        <w:t>nd direct cost comparisons. Understanding the full spectrum of financial and strategic benefits enables decision-makers to make informed choices that maximize event value.</w:t>
      </w:r>
    </w:p>
    <w:p w:rsidR="00A05F59" w:rsidRDefault="0078154C">
      <w:pPr>
        <w:pStyle w:val="Heading2"/>
      </w:pPr>
      <w:r>
        <w:t>4.1 Direct Cost Advantages</w:t>
      </w:r>
    </w:p>
    <w:p w:rsidR="00A05F59" w:rsidRDefault="0078154C">
      <w:pPr>
        <w:spacing w:after="150" w:line="312" w:lineRule="auto"/>
      </w:pPr>
      <w:r>
        <w:rPr>
          <w:color w:val="1E293B"/>
        </w:rPr>
        <w:t>When evaluating venue options, the total cost of ownership must be considered rather than simply comparing rental fees. Traditional venues often impose additional charges for services that are included in comprehensive tent rental packages. These hidden co</w:t>
      </w:r>
      <w:r>
        <w:rPr>
          <w:color w:val="1E293B"/>
        </w:rPr>
        <w:t>sts can significantly impact overall event budgets and should be carefully analyzed during the planning process.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50" w:type="dxa"/>
          <w:bottom w:w="100" w:type="dxa"/>
          <w:right w:w="150" w:type="dxa"/>
        </w:tblCellMar>
        <w:tblLook w:val="0000" w:firstRow="0" w:lastRow="0" w:firstColumn="0" w:lastColumn="0" w:noHBand="0" w:noVBand="0"/>
      </w:tblPr>
      <w:tblGrid>
        <w:gridCol w:w="2267"/>
        <w:gridCol w:w="1951"/>
        <w:gridCol w:w="1928"/>
      </w:tblGrid>
      <w:tr w:rsidR="00A05F59">
        <w:trPr>
          <w:tblHeader/>
        </w:trPr>
        <w:tc>
          <w:tcPr>
            <w:tcW w:w="0" w:type="auto"/>
            <w:tcBorders>
              <w:top w:val="single" w:sz="12" w:space="0" w:color="64748B"/>
              <w:left w:val="nil"/>
              <w:bottom w:val="single" w:sz="12" w:space="0" w:color="64748B"/>
              <w:right w:val="nil"/>
            </w:tcBorders>
            <w:shd w:val="clear" w:color="auto" w:fill="E8E4E0"/>
            <w:vAlign w:val="center"/>
          </w:tcPr>
          <w:p w:rsidR="00A05F59" w:rsidRDefault="0078154C">
            <w:pPr>
              <w:jc w:val="center"/>
            </w:pPr>
            <w:r>
              <w:rPr>
                <w:b/>
                <w:bCs/>
                <w:color w:val="020617"/>
                <w:sz w:val="21"/>
                <w:szCs w:val="21"/>
              </w:rPr>
              <w:t>Cost Factor</w:t>
            </w:r>
          </w:p>
        </w:tc>
        <w:tc>
          <w:tcPr>
            <w:tcW w:w="0" w:type="auto"/>
            <w:tcBorders>
              <w:top w:val="single" w:sz="12" w:space="0" w:color="64748B"/>
              <w:left w:val="nil"/>
              <w:bottom w:val="single" w:sz="12" w:space="0" w:color="64748B"/>
              <w:right w:val="nil"/>
            </w:tcBorders>
            <w:shd w:val="clear" w:color="auto" w:fill="E8E4E0"/>
            <w:vAlign w:val="center"/>
          </w:tcPr>
          <w:p w:rsidR="00A05F59" w:rsidRDefault="0078154C">
            <w:pPr>
              <w:jc w:val="center"/>
            </w:pPr>
            <w:r>
              <w:rPr>
                <w:b/>
                <w:bCs/>
                <w:color w:val="020617"/>
                <w:sz w:val="21"/>
                <w:szCs w:val="21"/>
              </w:rPr>
              <w:t>Traditional Venue</w:t>
            </w:r>
          </w:p>
        </w:tc>
        <w:tc>
          <w:tcPr>
            <w:tcW w:w="0" w:type="auto"/>
            <w:tcBorders>
              <w:top w:val="single" w:sz="12" w:space="0" w:color="64748B"/>
              <w:left w:val="nil"/>
              <w:bottom w:val="single" w:sz="12" w:space="0" w:color="64748B"/>
              <w:right w:val="nil"/>
            </w:tcBorders>
            <w:shd w:val="clear" w:color="auto" w:fill="E8E4E0"/>
            <w:vAlign w:val="center"/>
          </w:tcPr>
          <w:p w:rsidR="00A05F59" w:rsidRDefault="0078154C">
            <w:pPr>
              <w:jc w:val="center"/>
            </w:pPr>
            <w:r>
              <w:rPr>
                <w:b/>
                <w:bCs/>
                <w:color w:val="020617"/>
                <w:sz w:val="21"/>
                <w:szCs w:val="21"/>
              </w:rPr>
              <w:t>Tent Rental</w:t>
            </w:r>
          </w:p>
        </w:tc>
      </w:tr>
      <w:tr w:rsidR="00A05F59">
        <w:tc>
          <w:tcPr>
            <w:tcW w:w="0" w:type="auto"/>
            <w:tcBorders>
              <w:top w:val="single" w:sz="12" w:space="0" w:color="64748B"/>
              <w:left w:val="nil"/>
              <w:bottom w:val="single" w:sz="12" w:space="0" w:color="64748B"/>
              <w:right w:val="nil"/>
            </w:tcBorders>
          </w:tcPr>
          <w:p w:rsidR="00A05F59" w:rsidRDefault="0078154C">
            <w:r>
              <w:rPr>
                <w:color w:val="1E293B"/>
                <w:sz w:val="20"/>
                <w:szCs w:val="20"/>
              </w:rPr>
              <w:t>Base Rental Fee</w:t>
            </w:r>
          </w:p>
        </w:tc>
        <w:tc>
          <w:tcPr>
            <w:tcW w:w="0" w:type="auto"/>
            <w:tcBorders>
              <w:top w:val="single" w:sz="12" w:space="0" w:color="64748B"/>
              <w:left w:val="nil"/>
              <w:bottom w:val="single" w:sz="12" w:space="0" w:color="64748B"/>
              <w:right w:val="nil"/>
            </w:tcBorders>
          </w:tcPr>
          <w:p w:rsidR="00A05F59" w:rsidRDefault="0078154C">
            <w:pPr>
              <w:jc w:val="center"/>
            </w:pPr>
            <w:r>
              <w:rPr>
                <w:color w:val="1E293B"/>
                <w:sz w:val="20"/>
                <w:szCs w:val="20"/>
              </w:rPr>
              <w:t>AED 45,000-85,000</w:t>
            </w:r>
          </w:p>
        </w:tc>
        <w:tc>
          <w:tcPr>
            <w:tcW w:w="0" w:type="auto"/>
            <w:tcBorders>
              <w:top w:val="single" w:sz="12" w:space="0" w:color="64748B"/>
              <w:left w:val="nil"/>
              <w:bottom w:val="single" w:sz="12" w:space="0" w:color="64748B"/>
              <w:right w:val="nil"/>
            </w:tcBorders>
          </w:tcPr>
          <w:p w:rsidR="00A05F59" w:rsidRDefault="0078154C">
            <w:pPr>
              <w:jc w:val="center"/>
            </w:pPr>
            <w:r>
              <w:rPr>
                <w:color w:val="1E293B"/>
                <w:sz w:val="20"/>
                <w:szCs w:val="20"/>
              </w:rPr>
              <w:t>AED 25,000-55,000</w:t>
            </w:r>
          </w:p>
        </w:tc>
      </w:tr>
      <w:tr w:rsidR="00A05F59">
        <w:tc>
          <w:tcPr>
            <w:tcW w:w="0" w:type="auto"/>
            <w:tcBorders>
              <w:top w:val="single" w:sz="12" w:space="0" w:color="64748B"/>
              <w:left w:val="nil"/>
              <w:bottom w:val="single" w:sz="12" w:space="0" w:color="64748B"/>
              <w:right w:val="nil"/>
            </w:tcBorders>
          </w:tcPr>
          <w:p w:rsidR="00A05F59" w:rsidRDefault="0078154C">
            <w:r>
              <w:rPr>
                <w:color w:val="1E293B"/>
                <w:sz w:val="20"/>
                <w:szCs w:val="20"/>
              </w:rPr>
              <w:t>Branding/Customization</w:t>
            </w:r>
          </w:p>
        </w:tc>
        <w:tc>
          <w:tcPr>
            <w:tcW w:w="0" w:type="auto"/>
            <w:tcBorders>
              <w:top w:val="single" w:sz="12" w:space="0" w:color="64748B"/>
              <w:left w:val="nil"/>
              <w:bottom w:val="single" w:sz="12" w:space="0" w:color="64748B"/>
              <w:right w:val="nil"/>
            </w:tcBorders>
          </w:tcPr>
          <w:p w:rsidR="00A05F59" w:rsidRDefault="0078154C">
            <w:pPr>
              <w:jc w:val="center"/>
            </w:pPr>
            <w:r>
              <w:rPr>
                <w:color w:val="1E293B"/>
                <w:sz w:val="20"/>
                <w:szCs w:val="20"/>
              </w:rPr>
              <w:t>AED 15,000-30,000</w:t>
            </w:r>
          </w:p>
        </w:tc>
        <w:tc>
          <w:tcPr>
            <w:tcW w:w="0" w:type="auto"/>
            <w:tcBorders>
              <w:top w:val="single" w:sz="12" w:space="0" w:color="64748B"/>
              <w:left w:val="nil"/>
              <w:bottom w:val="single" w:sz="12" w:space="0" w:color="64748B"/>
              <w:right w:val="nil"/>
            </w:tcBorders>
          </w:tcPr>
          <w:p w:rsidR="00A05F59" w:rsidRDefault="0078154C">
            <w:pPr>
              <w:jc w:val="center"/>
            </w:pPr>
            <w:r>
              <w:rPr>
                <w:color w:val="1E293B"/>
                <w:sz w:val="20"/>
                <w:szCs w:val="20"/>
              </w:rPr>
              <w:t>Included/Minimal</w:t>
            </w:r>
          </w:p>
        </w:tc>
      </w:tr>
      <w:tr w:rsidR="00A05F59">
        <w:tc>
          <w:tcPr>
            <w:tcW w:w="0" w:type="auto"/>
            <w:tcBorders>
              <w:top w:val="single" w:sz="12" w:space="0" w:color="64748B"/>
              <w:left w:val="nil"/>
              <w:bottom w:val="single" w:sz="12" w:space="0" w:color="64748B"/>
              <w:right w:val="nil"/>
            </w:tcBorders>
          </w:tcPr>
          <w:p w:rsidR="00A05F59" w:rsidRDefault="0078154C">
            <w:r>
              <w:rPr>
                <w:color w:val="1E293B"/>
                <w:sz w:val="20"/>
                <w:szCs w:val="20"/>
              </w:rPr>
              <w:t>Layout Flexibility</w:t>
            </w:r>
          </w:p>
        </w:tc>
        <w:tc>
          <w:tcPr>
            <w:tcW w:w="0" w:type="auto"/>
            <w:tcBorders>
              <w:top w:val="single" w:sz="12" w:space="0" w:color="64748B"/>
              <w:left w:val="nil"/>
              <w:bottom w:val="single" w:sz="12" w:space="0" w:color="64748B"/>
              <w:right w:val="nil"/>
            </w:tcBorders>
          </w:tcPr>
          <w:p w:rsidR="00A05F59" w:rsidRDefault="0078154C">
            <w:pPr>
              <w:jc w:val="center"/>
            </w:pPr>
            <w:r>
              <w:rPr>
                <w:color w:val="1E293B"/>
                <w:sz w:val="20"/>
                <w:szCs w:val="20"/>
              </w:rPr>
              <w:t>Limited/Extra Cost</w:t>
            </w:r>
          </w:p>
        </w:tc>
        <w:tc>
          <w:tcPr>
            <w:tcW w:w="0" w:type="auto"/>
            <w:tcBorders>
              <w:top w:val="single" w:sz="12" w:space="0" w:color="64748B"/>
              <w:left w:val="nil"/>
              <w:bottom w:val="single" w:sz="12" w:space="0" w:color="64748B"/>
              <w:right w:val="nil"/>
            </w:tcBorders>
          </w:tcPr>
          <w:p w:rsidR="00A05F59" w:rsidRDefault="0078154C">
            <w:pPr>
              <w:jc w:val="center"/>
            </w:pPr>
            <w:r>
              <w:rPr>
                <w:color w:val="1E293B"/>
                <w:sz w:val="20"/>
                <w:szCs w:val="20"/>
              </w:rPr>
              <w:t>Fully Customizable</w:t>
            </w:r>
          </w:p>
        </w:tc>
      </w:tr>
      <w:tr w:rsidR="00A05F59">
        <w:tc>
          <w:tcPr>
            <w:tcW w:w="0" w:type="auto"/>
            <w:tcBorders>
              <w:top w:val="single" w:sz="12" w:space="0" w:color="64748B"/>
              <w:left w:val="nil"/>
              <w:bottom w:val="single" w:sz="12" w:space="0" w:color="64748B"/>
              <w:right w:val="nil"/>
            </w:tcBorders>
          </w:tcPr>
          <w:p w:rsidR="00A05F59" w:rsidRDefault="0078154C">
            <w:r>
              <w:rPr>
                <w:color w:val="1E293B"/>
                <w:sz w:val="20"/>
                <w:szCs w:val="20"/>
              </w:rPr>
              <w:t>AV Integration</w:t>
            </w:r>
          </w:p>
        </w:tc>
        <w:tc>
          <w:tcPr>
            <w:tcW w:w="0" w:type="auto"/>
            <w:tcBorders>
              <w:top w:val="single" w:sz="12" w:space="0" w:color="64748B"/>
              <w:left w:val="nil"/>
              <w:bottom w:val="single" w:sz="12" w:space="0" w:color="64748B"/>
              <w:right w:val="nil"/>
            </w:tcBorders>
          </w:tcPr>
          <w:p w:rsidR="00A05F59" w:rsidRDefault="0078154C">
            <w:pPr>
              <w:jc w:val="center"/>
            </w:pPr>
            <w:r>
              <w:rPr>
                <w:color w:val="1E293B"/>
                <w:sz w:val="20"/>
                <w:szCs w:val="20"/>
              </w:rPr>
              <w:t>Venue Restrictions</w:t>
            </w:r>
          </w:p>
        </w:tc>
        <w:tc>
          <w:tcPr>
            <w:tcW w:w="0" w:type="auto"/>
            <w:tcBorders>
              <w:top w:val="single" w:sz="12" w:space="0" w:color="64748B"/>
              <w:left w:val="nil"/>
              <w:bottom w:val="single" w:sz="12" w:space="0" w:color="64748B"/>
              <w:right w:val="nil"/>
            </w:tcBorders>
          </w:tcPr>
          <w:p w:rsidR="00A05F59" w:rsidRDefault="0078154C">
            <w:pPr>
              <w:jc w:val="center"/>
            </w:pPr>
            <w:r>
              <w:rPr>
                <w:color w:val="1E293B"/>
                <w:sz w:val="20"/>
                <w:szCs w:val="20"/>
              </w:rPr>
              <w:t>Unlimited Options</w:t>
            </w:r>
          </w:p>
        </w:tc>
      </w:tr>
      <w:tr w:rsidR="00A05F59">
        <w:tc>
          <w:tcPr>
            <w:tcW w:w="0" w:type="auto"/>
            <w:tcBorders>
              <w:top w:val="single" w:sz="12" w:space="0" w:color="64748B"/>
              <w:left w:val="nil"/>
              <w:bottom w:val="single" w:sz="12" w:space="0" w:color="64748B"/>
              <w:right w:val="nil"/>
            </w:tcBorders>
          </w:tcPr>
          <w:p w:rsidR="00A05F59" w:rsidRDefault="0078154C">
            <w:r>
              <w:rPr>
                <w:color w:val="1E293B"/>
                <w:sz w:val="20"/>
                <w:szCs w:val="20"/>
              </w:rPr>
              <w:lastRenderedPageBreak/>
              <w:t>Catering Options</w:t>
            </w:r>
          </w:p>
        </w:tc>
        <w:tc>
          <w:tcPr>
            <w:tcW w:w="0" w:type="auto"/>
            <w:tcBorders>
              <w:top w:val="single" w:sz="12" w:space="0" w:color="64748B"/>
              <w:left w:val="nil"/>
              <w:bottom w:val="single" w:sz="12" w:space="0" w:color="64748B"/>
              <w:right w:val="nil"/>
            </w:tcBorders>
          </w:tcPr>
          <w:p w:rsidR="00A05F59" w:rsidRDefault="0078154C">
            <w:pPr>
              <w:jc w:val="center"/>
            </w:pPr>
            <w:r>
              <w:rPr>
                <w:color w:val="1E293B"/>
                <w:sz w:val="20"/>
                <w:szCs w:val="20"/>
              </w:rPr>
              <w:t>Restricted/In-House</w:t>
            </w:r>
          </w:p>
        </w:tc>
        <w:tc>
          <w:tcPr>
            <w:tcW w:w="0" w:type="auto"/>
            <w:tcBorders>
              <w:top w:val="single" w:sz="12" w:space="0" w:color="64748B"/>
              <w:left w:val="nil"/>
              <w:bottom w:val="single" w:sz="12" w:space="0" w:color="64748B"/>
              <w:right w:val="nil"/>
            </w:tcBorders>
          </w:tcPr>
          <w:p w:rsidR="00A05F59" w:rsidRDefault="0078154C">
            <w:pPr>
              <w:jc w:val="center"/>
            </w:pPr>
            <w:r>
              <w:rPr>
                <w:color w:val="1E293B"/>
                <w:sz w:val="20"/>
                <w:szCs w:val="20"/>
              </w:rPr>
              <w:t>Any Caterer Choice</w:t>
            </w:r>
          </w:p>
        </w:tc>
      </w:tr>
      <w:tr w:rsidR="00A05F59">
        <w:tc>
          <w:tcPr>
            <w:tcW w:w="0" w:type="auto"/>
            <w:tcBorders>
              <w:top w:val="single" w:sz="12" w:space="0" w:color="64748B"/>
              <w:left w:val="nil"/>
              <w:bottom w:val="single" w:sz="12" w:space="0" w:color="64748B"/>
              <w:right w:val="nil"/>
            </w:tcBorders>
          </w:tcPr>
          <w:p w:rsidR="00A05F59" w:rsidRDefault="0078154C">
            <w:r>
              <w:rPr>
                <w:b/>
                <w:bCs/>
                <w:color w:val="1E293B"/>
                <w:sz w:val="20"/>
                <w:szCs w:val="20"/>
              </w:rPr>
              <w:t>Potential Savings</w:t>
            </w:r>
          </w:p>
        </w:tc>
        <w:tc>
          <w:tcPr>
            <w:tcW w:w="0" w:type="auto"/>
            <w:tcBorders>
              <w:top w:val="single" w:sz="12" w:space="0" w:color="64748B"/>
              <w:left w:val="nil"/>
              <w:bottom w:val="single" w:sz="12" w:space="0" w:color="64748B"/>
              <w:right w:val="nil"/>
            </w:tcBorders>
            <w:shd w:val="clear" w:color="auto" w:fill="F8FAFC"/>
          </w:tcPr>
          <w:p w:rsidR="00A05F59" w:rsidRDefault="0078154C">
            <w:pPr>
              <w:jc w:val="center"/>
            </w:pPr>
            <w:r>
              <w:rPr>
                <w:color w:val="1E293B"/>
                <w:sz w:val="20"/>
                <w:szCs w:val="20"/>
              </w:rPr>
              <w:t>—</w:t>
            </w:r>
          </w:p>
        </w:tc>
        <w:tc>
          <w:tcPr>
            <w:tcW w:w="0" w:type="auto"/>
            <w:tcBorders>
              <w:top w:val="single" w:sz="12" w:space="0" w:color="64748B"/>
              <w:left w:val="nil"/>
              <w:bottom w:val="single" w:sz="12" w:space="0" w:color="64748B"/>
              <w:right w:val="nil"/>
            </w:tcBorders>
            <w:shd w:val="clear" w:color="auto" w:fill="F8FAFC"/>
          </w:tcPr>
          <w:p w:rsidR="00A05F59" w:rsidRDefault="0078154C">
            <w:pPr>
              <w:jc w:val="center"/>
            </w:pPr>
            <w:r>
              <w:rPr>
                <w:b/>
                <w:bCs/>
                <w:color w:val="C19A6B"/>
                <w:sz w:val="20"/>
                <w:szCs w:val="20"/>
              </w:rPr>
              <w:t>25-45%</w:t>
            </w:r>
          </w:p>
        </w:tc>
      </w:tr>
    </w:tbl>
    <w:p w:rsidR="00A05F59" w:rsidRDefault="0078154C">
      <w:pPr>
        <w:spacing w:before="100" w:after="200"/>
        <w:jc w:val="center"/>
      </w:pPr>
      <w:r>
        <w:rPr>
          <w:i/>
          <w:iCs/>
          <w:color w:val="64748B"/>
          <w:sz w:val="18"/>
          <w:szCs w:val="18"/>
        </w:rPr>
        <w:t>Table 2: Cost Comparison for 500-Guest Corporate Event (Dubai)</w:t>
      </w:r>
    </w:p>
    <w:p w:rsidR="00A05F59" w:rsidRDefault="0078154C">
      <w:pPr>
        <w:pStyle w:val="Heading2"/>
      </w:pPr>
      <w:r>
        <w:t>4.2 Strategic and Intangible Benefits</w:t>
      </w:r>
    </w:p>
    <w:p w:rsidR="00A05F59" w:rsidRDefault="0078154C">
      <w:pPr>
        <w:spacing w:after="200" w:line="312" w:lineRule="auto"/>
      </w:pPr>
      <w:r>
        <w:rPr>
          <w:color w:val="1E293B"/>
        </w:rPr>
        <w:t>Beyond direct cost savings, tent rental venues deliver strategic advantages that contribute to organizational objectives in ways that are difficult to quan</w:t>
      </w:r>
      <w:r>
        <w:rPr>
          <w:color w:val="1E293B"/>
        </w:rPr>
        <w:t>tify but highly valuable. The ability to select any location for an event creates opportunities for brand storytelling and experiential marketing that fixed venues cannot match. Companies can position their events at locations that reinforce brand messages</w:t>
      </w:r>
      <w:r>
        <w:rPr>
          <w:color w:val="1E293B"/>
        </w:rPr>
        <w:t>—whether that's a beachfront property for a wellness brand, a desert setting for an adventure company, or an urban rooftop for a technology firm. This contextual positioning amplifies brand communication and creates memorable experiences that resonate with</w:t>
      </w:r>
      <w:r>
        <w:rPr>
          <w:color w:val="1E293B"/>
        </w:rPr>
        <w:t xml:space="preserve"> attendees long after the event concludes.</w:t>
      </w:r>
    </w:p>
    <w:p w:rsidR="00A05F59" w:rsidRDefault="0078154C">
      <w:pPr>
        <w:spacing w:after="200" w:line="312" w:lineRule="auto"/>
      </w:pPr>
      <w:r>
        <w:rPr>
          <w:color w:val="1E293B"/>
        </w:rPr>
        <w:t xml:space="preserve">The exclusivity factor represents another significant intangible benefit. When a company hosts an event in a custom tent venue, they own that space completely for the duration of the event. There are no competing </w:t>
      </w:r>
      <w:r>
        <w:rPr>
          <w:color w:val="1E293B"/>
        </w:rPr>
        <w:t>events in adjacent rooms, no shared facilities with other groups, and no concerns about venue staff prioritizing other clients. This exclusivity creates a sense of importance and privilege among attendees, reinforcing the value that the organization places</w:t>
      </w:r>
      <w:r>
        <w:rPr>
          <w:color w:val="1E293B"/>
        </w:rPr>
        <w:t xml:space="preserve"> on the event and its participants. For VIP events and executive gatherings, this exclusivity is often worth the investment in itself.</w:t>
      </w:r>
    </w:p>
    <w:p w:rsidR="00A05F59" w:rsidRDefault="0078154C">
      <w:pPr>
        <w:pStyle w:val="Heading2"/>
      </w:pPr>
      <w:r>
        <w:t>4.3 Calculating Your Event ROI</w:t>
      </w:r>
    </w:p>
    <w:p w:rsidR="00A05F59" w:rsidRDefault="0078154C">
      <w:pPr>
        <w:spacing w:after="150" w:line="312" w:lineRule="auto"/>
      </w:pPr>
      <w:r>
        <w:rPr>
          <w:color w:val="1E293B"/>
        </w:rPr>
        <w:t>To accurately assess the return on investment for corporate events, organizations should e</w:t>
      </w:r>
      <w:r>
        <w:rPr>
          <w:color w:val="1E293B"/>
        </w:rPr>
        <w:t>stablish clear metrics before the event and implement measurement systems to capture relevant data. The following framework provides a starting point for ROI calculation:</w:t>
      </w:r>
    </w:p>
    <w:p w:rsidR="00A05F59" w:rsidRDefault="0078154C">
      <w:pPr>
        <w:pStyle w:val="ListParagraph"/>
        <w:numPr>
          <w:ilvl w:val="0"/>
          <w:numId w:val="2"/>
        </w:numPr>
      </w:pPr>
      <w:r>
        <w:rPr>
          <w:color w:val="1E293B"/>
        </w:rPr>
        <w:t>Define Clear Objectives: Establish specific, measurable goals for the event—whether t</w:t>
      </w:r>
      <w:r>
        <w:rPr>
          <w:color w:val="1E293B"/>
        </w:rPr>
        <w:t>hat's lead generation targets, partnership discussions initiated, employee satisfaction scores, or media impressions generated.</w:t>
      </w:r>
    </w:p>
    <w:p w:rsidR="00A05F59" w:rsidRDefault="0078154C">
      <w:pPr>
        <w:pStyle w:val="ListParagraph"/>
        <w:numPr>
          <w:ilvl w:val="0"/>
          <w:numId w:val="2"/>
        </w:numPr>
      </w:pPr>
      <w:r>
        <w:rPr>
          <w:color w:val="1E293B"/>
        </w:rPr>
        <w:t>Calculate Total Investment: Include all direct costs (venue, catering, AV, staffing) and indirect costs (staff time, opportunity costs) to determine true investment.</w:t>
      </w:r>
    </w:p>
    <w:p w:rsidR="00A05F59" w:rsidRDefault="0078154C">
      <w:pPr>
        <w:pStyle w:val="ListParagraph"/>
        <w:numPr>
          <w:ilvl w:val="0"/>
          <w:numId w:val="2"/>
        </w:numPr>
      </w:pPr>
      <w:r>
        <w:rPr>
          <w:color w:val="1E293B"/>
        </w:rPr>
        <w:t>Measure Immediate Outcomes: Track attendance, engagement metrics, satisfaction scores, and</w:t>
      </w:r>
      <w:r>
        <w:rPr>
          <w:color w:val="1E293B"/>
        </w:rPr>
        <w:t xml:space="preserve"> immediate business outcomes during and immediately after the event.</w:t>
      </w:r>
    </w:p>
    <w:p w:rsidR="00A05F59" w:rsidRDefault="0078154C">
      <w:pPr>
        <w:pStyle w:val="ListParagraph"/>
        <w:numPr>
          <w:ilvl w:val="0"/>
          <w:numId w:val="2"/>
        </w:numPr>
      </w:pPr>
      <w:r>
        <w:rPr>
          <w:color w:val="1E293B"/>
        </w:rPr>
        <w:t>Track Long-Term Impact: Monitor pipeline development, deal closures, employee retention, and brand perception in the months following the event.</w:t>
      </w:r>
    </w:p>
    <w:p w:rsidR="00A05F59" w:rsidRDefault="0078154C">
      <w:pPr>
        <w:pStyle w:val="ListParagraph"/>
        <w:numPr>
          <w:ilvl w:val="0"/>
          <w:numId w:val="2"/>
        </w:numPr>
      </w:pPr>
      <w:r>
        <w:rPr>
          <w:color w:val="1E293B"/>
        </w:rPr>
        <w:t>Compare Against Benchmarks: Evaluate resul</w:t>
      </w:r>
      <w:r>
        <w:rPr>
          <w:color w:val="1E293B"/>
        </w:rPr>
        <w:t>ts against previous events, industry standards, and alternative investment options.</w:t>
      </w:r>
    </w:p>
    <w:p w:rsidR="00A05F59" w:rsidRDefault="0078154C">
      <w:pPr>
        <w:spacing w:before="150" w:after="200" w:line="312" w:lineRule="auto"/>
      </w:pPr>
      <w:r>
        <w:rPr>
          <w:color w:val="1E293B"/>
        </w:rPr>
        <w:t>Organizations that implement rigorous event measurement consistently report higher satisfaction with their event investments and greater ability to optimize future events for improved results.</w:t>
      </w:r>
    </w:p>
    <w:p w:rsidR="00A05F59" w:rsidRDefault="0078154C">
      <w:pPr>
        <w:pStyle w:val="Heading1"/>
      </w:pPr>
      <w:r>
        <w:t>5. Best Practices for Successful Corporate Outdoor Events</w:t>
      </w:r>
    </w:p>
    <w:p w:rsidR="00A05F59" w:rsidRDefault="0078154C">
      <w:pPr>
        <w:spacing w:after="200" w:line="312" w:lineRule="auto"/>
      </w:pPr>
      <w:r>
        <w:rPr>
          <w:color w:val="1E293B"/>
        </w:rPr>
        <w:t>The d</w:t>
      </w:r>
      <w:r>
        <w:rPr>
          <w:color w:val="1E293B"/>
        </w:rPr>
        <w:t xml:space="preserve">ifference between a successful corporate event and a disappointing one often lies in the details of planning and execution. Drawing from extensive experience in corporate event tent rentals across </w:t>
      </w:r>
      <w:r>
        <w:rPr>
          <w:color w:val="1E293B"/>
        </w:rPr>
        <w:lastRenderedPageBreak/>
        <w:t>Dubai and the UAE, the following best practices represent c</w:t>
      </w:r>
      <w:r>
        <w:rPr>
          <w:color w:val="1E293B"/>
        </w:rPr>
        <w:t>ritical success factors that should inform every outdoor corporate event planning process.</w:t>
      </w:r>
    </w:p>
    <w:p w:rsidR="00A05F59" w:rsidRDefault="0078154C">
      <w:pPr>
        <w:pStyle w:val="Heading2"/>
      </w:pPr>
      <w:r>
        <w:t>5.1 Strategic Timeline Planning</w:t>
      </w:r>
    </w:p>
    <w:p w:rsidR="00A05F59" w:rsidRDefault="0078154C">
      <w:pPr>
        <w:spacing w:after="150" w:line="312" w:lineRule="auto"/>
      </w:pPr>
      <w:r>
        <w:rPr>
          <w:color w:val="1E293B"/>
        </w:rPr>
        <w:t>Successful corporate events require careful timing that accounts for venue preparation, equipment installation, and operational conti</w:t>
      </w:r>
      <w:r>
        <w:rPr>
          <w:color w:val="1E293B"/>
        </w:rPr>
        <w:t>ngencies. For tent venues, the following timeline framework provides a starting point that should be adjusted based on event scale and complexity:</w:t>
      </w:r>
    </w:p>
    <w:p w:rsidR="00A05F59" w:rsidRDefault="0078154C">
      <w:pPr>
        <w:pStyle w:val="ListParagraph"/>
        <w:numPr>
          <w:ilvl w:val="0"/>
          <w:numId w:val="3"/>
        </w:numPr>
      </w:pPr>
      <w:r>
        <w:rPr>
          <w:color w:val="1E293B"/>
        </w:rPr>
        <w:t>8-12 Weeks Before: Finalize venue selection, confirm tent specifications, begin permitting process if require</w:t>
      </w:r>
      <w:r>
        <w:rPr>
          <w:color w:val="1E293B"/>
        </w:rPr>
        <w:t>d, and coordinate with vendors on technical requirements.</w:t>
      </w:r>
    </w:p>
    <w:p w:rsidR="00A05F59" w:rsidRDefault="0078154C">
      <w:pPr>
        <w:pStyle w:val="ListParagraph"/>
        <w:numPr>
          <w:ilvl w:val="0"/>
          <w:numId w:val="3"/>
        </w:numPr>
      </w:pPr>
      <w:r>
        <w:rPr>
          <w:color w:val="1E293B"/>
        </w:rPr>
        <w:t>4-6 Weeks Before: Complete detailed floor plans, finalize catering and AV requirements, confirm branding specifications, and conduct site inspection.</w:t>
      </w:r>
    </w:p>
    <w:p w:rsidR="00A05F59" w:rsidRDefault="0078154C">
      <w:pPr>
        <w:pStyle w:val="ListParagraph"/>
        <w:numPr>
          <w:ilvl w:val="0"/>
          <w:numId w:val="3"/>
        </w:numPr>
      </w:pPr>
      <w:r>
        <w:rPr>
          <w:color w:val="1E293B"/>
        </w:rPr>
        <w:t>1-2 Weeks Before: Complete tent installation, te</w:t>
      </w:r>
      <w:r>
        <w:rPr>
          <w:color w:val="1E293B"/>
        </w:rPr>
        <w:t>st all technical systems, conduct final walkthrough with stakeholders, and finalize logistics coordination.</w:t>
      </w:r>
    </w:p>
    <w:p w:rsidR="00A05F59" w:rsidRDefault="0078154C">
      <w:pPr>
        <w:pStyle w:val="ListParagraph"/>
        <w:numPr>
          <w:ilvl w:val="0"/>
          <w:numId w:val="3"/>
        </w:numPr>
      </w:pPr>
      <w:r>
        <w:rPr>
          <w:color w:val="1E293B"/>
        </w:rPr>
        <w:t>Day Before: Complete all setup, conduct technical rehearsal, prepare contingency equipment, and brief operational staff.</w:t>
      </w:r>
    </w:p>
    <w:p w:rsidR="00A05F59" w:rsidRDefault="0078154C">
      <w:pPr>
        <w:spacing w:before="150" w:after="200" w:line="312" w:lineRule="auto"/>
      </w:pPr>
      <w:r>
        <w:rPr>
          <w:color w:val="1E293B"/>
        </w:rPr>
        <w:t>Rushing any of these phases</w:t>
      </w:r>
      <w:r>
        <w:rPr>
          <w:color w:val="1E293B"/>
        </w:rPr>
        <w:t xml:space="preserve"> increases risk of complications and reduces the ability to address issues proactively. Professional tent rental companies can provide detailed project management support to ensure all elements come together seamlessly.</w:t>
      </w:r>
    </w:p>
    <w:p w:rsidR="00A05F59" w:rsidRDefault="0078154C">
      <w:pPr>
        <w:pStyle w:val="Heading2"/>
      </w:pPr>
      <w:r>
        <w:t>5.2 Contingency Planning</w:t>
      </w:r>
    </w:p>
    <w:p w:rsidR="00A05F59" w:rsidRDefault="0078154C">
      <w:pPr>
        <w:spacing w:after="200" w:line="312" w:lineRule="auto"/>
      </w:pPr>
      <w:r>
        <w:rPr>
          <w:color w:val="1E293B"/>
        </w:rPr>
        <w:t>Outdoor eve</w:t>
      </w:r>
      <w:r>
        <w:rPr>
          <w:color w:val="1E293B"/>
        </w:rPr>
        <w:t>nts in Dubai benefit from generally predictable weather, but contingency planning remains essential. Professional tent structures are engineered to withstand significant weather events, but contingencies should address scenarios ranging from extreme heat t</w:t>
      </w:r>
      <w:r>
        <w:rPr>
          <w:color w:val="1E293B"/>
        </w:rPr>
        <w:t xml:space="preserve">o unexpected rainfall to sandstorms. Work with your tent provider to understand the capabilities and limitations of your specific structure and develop contingency protocols for various scenarios. Having backup plans in place—and communicating them to key </w:t>
      </w:r>
      <w:r>
        <w:rPr>
          <w:color w:val="1E293B"/>
        </w:rPr>
        <w:t>stakeholders—provides peace of mind and ensures smooth execution regardless of circumstances.</w:t>
      </w:r>
    </w:p>
    <w:p w:rsidR="00A05F59" w:rsidRDefault="0078154C">
      <w:pPr>
        <w:pStyle w:val="Heading2"/>
      </w:pPr>
      <w:r>
        <w:t>5.3 Technology Integration</w:t>
      </w:r>
    </w:p>
    <w:p w:rsidR="00A05F59" w:rsidRDefault="0078154C">
      <w:pPr>
        <w:spacing w:after="200" w:line="312" w:lineRule="auto"/>
      </w:pPr>
      <w:r>
        <w:rPr>
          <w:color w:val="1E293B"/>
        </w:rPr>
        <w:t>Modern corporate events are technology-dependent, and tent venues must support this infrastructure requirement. Work with your tent pro</w:t>
      </w:r>
      <w:r>
        <w:rPr>
          <w:color w:val="1E293B"/>
        </w:rPr>
        <w:t>vider to ensure adequate power distribution, internet connectivity, and structural support for technical equipment. Consider the impact of tent flooring on cable management and ensure that technical teams have adequate access for installation and troublesh</w:t>
      </w:r>
      <w:r>
        <w:rPr>
          <w:color w:val="1E293B"/>
        </w:rPr>
        <w:t>ooting. Professional tent providers can integrate cable trays, floor boxes, and other technical infrastructure seamlessly into the structure design, maintaining aesthetic appeal while ensuring full functionality.</w:t>
      </w:r>
    </w:p>
    <w:p w:rsidR="00A05F59" w:rsidRDefault="0078154C">
      <w:pPr>
        <w:pStyle w:val="Heading1"/>
      </w:pPr>
      <w:r>
        <w:t>6. Partnering with Tent Now for Your Corpor</w:t>
      </w:r>
      <w:r>
        <w:t>ate Event</w:t>
      </w:r>
    </w:p>
    <w:p w:rsidR="00A05F59" w:rsidRDefault="0078154C">
      <w:pPr>
        <w:spacing w:after="200" w:line="312" w:lineRule="auto"/>
      </w:pPr>
      <w:r>
        <w:rPr>
          <w:color w:val="1E293B"/>
        </w:rPr>
        <w:t>Tent Now has established itself as a leading provider of corporate event tent solutions in Dubai and across the UAE, combining extensive inventory, experienced project teams, and commitment to client success. Our approach to corporate events is b</w:t>
      </w:r>
      <w:r>
        <w:rPr>
          <w:color w:val="1E293B"/>
        </w:rPr>
        <w:t xml:space="preserve">uilt on understanding that every client has unique objectives and that venue solutions must be tailored accordingly. From initial consultation through </w:t>
      </w:r>
      <w:r>
        <w:rPr>
          <w:color w:val="1E293B"/>
        </w:rPr>
        <w:lastRenderedPageBreak/>
        <w:t>event execution, our team works closely with corporate clients and event planners to ensure that every de</w:t>
      </w:r>
      <w:r>
        <w:rPr>
          <w:color w:val="1E293B"/>
        </w:rPr>
        <w:t>tail is addressed and every expectation exceeded.</w:t>
      </w:r>
    </w:p>
    <w:p w:rsidR="00A05F59" w:rsidRDefault="0078154C">
      <w:pPr>
        <w:spacing w:after="200" w:line="312" w:lineRule="auto"/>
      </w:pPr>
      <w:r>
        <w:rPr>
          <w:color w:val="1E293B"/>
        </w:rPr>
        <w:t>Our corporate clients benefit from comprehensive service offerings that include: professional site consultation and venue planning, custom tent configurations tailored to event requirements, integrated clim</w:t>
      </w:r>
      <w:r>
        <w:rPr>
          <w:color w:val="1E293B"/>
        </w:rPr>
        <w:t xml:space="preserve">ate control systems engineered for UAE conditions, professional installation and dismantling by trained crews, optional furniture, flooring, and lighting packages, dedicated project management for complex events, and flexible rental terms that accommodate </w:t>
      </w:r>
      <w:r>
        <w:rPr>
          <w:color w:val="1E293B"/>
        </w:rPr>
        <w:t>corporate procurement processes. Whether you're planning an intimate executive retreat or a large-scale corporate celebration, our team has the expertise and resources to deliver exceptional results.</w:t>
      </w:r>
    </w:p>
    <w:p w:rsidR="00A05F59" w:rsidRDefault="0078154C">
      <w:pPr>
        <w:pStyle w:val="Heading1"/>
      </w:pPr>
      <w:r>
        <w:t>7. Conclusion: Elevating Corporate Events Through Innova</w:t>
      </w:r>
      <w:r>
        <w:t>tion</w:t>
      </w:r>
    </w:p>
    <w:p w:rsidR="00A05F59" w:rsidRDefault="0078154C">
      <w:pPr>
        <w:spacing w:after="200" w:line="312" w:lineRule="auto"/>
      </w:pPr>
      <w:r>
        <w:rPr>
          <w:color w:val="1E293B"/>
        </w:rPr>
        <w:t>Corporate event tents have evolved from simple weather protection into sophisticated venue solutions that offer unprecedented flexibility, cost efficiency, and creative potential. In Dubai's dynamic business environment, where differentiation is essen</w:t>
      </w:r>
      <w:r>
        <w:rPr>
          <w:color w:val="1E293B"/>
        </w:rPr>
        <w:t xml:space="preserve">tial and expectations are high, outdoor tent venues provide organizations with a powerful tool for creating memorable experiences that drive business results. The combination of customizable spaces, professional presentation, and strategic cost advantages </w:t>
      </w:r>
      <w:r>
        <w:rPr>
          <w:color w:val="1E293B"/>
        </w:rPr>
        <w:t>makes tent rentals an increasingly attractive option for corporate event planners and marketing teams seeking to maximize their event investments.</w:t>
      </w:r>
    </w:p>
    <w:p w:rsidR="00A05F59" w:rsidRDefault="0078154C">
      <w:pPr>
        <w:spacing w:after="200" w:line="312" w:lineRule="auto"/>
      </w:pPr>
      <w:r>
        <w:rPr>
          <w:color w:val="1E293B"/>
        </w:rPr>
        <w:t xml:space="preserve">As the corporate events landscape continues to evolve, organizations that embrace innovative venue solutions </w:t>
      </w:r>
      <w:r>
        <w:rPr>
          <w:color w:val="1E293B"/>
        </w:rPr>
        <w:t>will be best positioned to create impactful experiences that resonate with their audiences. Whether launching products, celebrating achievements, or building relationships, the right venue sets the stage for success. Tent Now stands ready to partner with f</w:t>
      </w:r>
      <w:r>
        <w:rPr>
          <w:color w:val="1E293B"/>
        </w:rPr>
        <w:t>orward-thinking organizations to transform outdoor spaces into professional corporate venues that deliver measurable results and lasting impressions.</w:t>
      </w:r>
    </w:p>
    <w:p w:rsidR="00A05F59" w:rsidRDefault="0078154C">
      <w:pPr>
        <w:shd w:val="clear" w:color="auto" w:fill="F8FAFC"/>
        <w:spacing w:before="300" w:after="150"/>
        <w:jc w:val="center"/>
      </w:pPr>
      <w:r>
        <w:rPr>
          <w:b/>
          <w:bCs/>
          <w:color w:val="020617"/>
          <w:sz w:val="26"/>
          <w:szCs w:val="26"/>
        </w:rPr>
        <w:t>Ready to Transform Your Corporate Event?</w:t>
      </w:r>
    </w:p>
    <w:p w:rsidR="00A05F59" w:rsidRDefault="0078154C">
      <w:pPr>
        <w:spacing w:after="100"/>
        <w:jc w:val="center"/>
      </w:pPr>
      <w:r>
        <w:rPr>
          <w:color w:val="1E293B"/>
        </w:rPr>
        <w:t>Contact Tent Now today for a complimentary consultation and venue planning session.</w:t>
      </w:r>
    </w:p>
    <w:p w:rsidR="00A05F59" w:rsidRDefault="0078154C">
      <w:pPr>
        <w:spacing w:after="50"/>
        <w:jc w:val="center"/>
      </w:pPr>
      <w:r>
        <w:rPr>
          <w:color w:val="64748B"/>
        </w:rPr>
        <w:t xml:space="preserve">Website: </w:t>
      </w:r>
      <w:r>
        <w:rPr>
          <w:b/>
          <w:bCs/>
          <w:color w:val="C19A6B"/>
        </w:rPr>
        <w:t>www.tentnow.ae</w:t>
      </w:r>
    </w:p>
    <w:p w:rsidR="00A05F59" w:rsidRDefault="0078154C">
      <w:pPr>
        <w:spacing w:after="200"/>
        <w:jc w:val="center"/>
      </w:pPr>
      <w:r>
        <w:rPr>
          <w:color w:val="1E293B"/>
        </w:rPr>
        <w:t>Let us help you create an exceptional corporate event experience.</w:t>
      </w:r>
    </w:p>
    <w:sectPr w:rsidR="00A05F59">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154C" w:rsidRDefault="0078154C">
      <w:r>
        <w:separator/>
      </w:r>
    </w:p>
  </w:endnote>
  <w:endnote w:type="continuationSeparator" w:id="0">
    <w:p w:rsidR="0078154C" w:rsidRDefault="00781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5F59" w:rsidRDefault="0078154C">
    <w:pPr>
      <w:jc w:val="center"/>
    </w:pPr>
    <w:r>
      <w:rPr>
        <w:color w:val="64748B"/>
        <w:sz w:val="18"/>
        <w:szCs w:val="18"/>
      </w:rPr>
      <w:t xml:space="preserve">Tent Now UAE | </w:t>
    </w:r>
    <w:r>
      <w:rPr>
        <w:color w:val="C19A6B"/>
        <w:sz w:val="18"/>
        <w:szCs w:val="18"/>
      </w:rPr>
      <w:t>www.tentnow.ae</w:t>
    </w:r>
    <w:r>
      <w:rPr>
        <w:color w:val="64748B"/>
        <w:sz w:val="18"/>
        <w:szCs w:val="18"/>
      </w:rPr>
      <w:t xml:space="preserve"> | Page </w:t>
    </w:r>
    <w:r>
      <w:rPr>
        <w:color w:val="64748B"/>
        <w:sz w:val="18"/>
        <w:szCs w:val="18"/>
      </w:rPr>
      <w:fldChar w:fldCharType="begin"/>
    </w:r>
    <w:r>
      <w:rPr>
        <w:color w:val="64748B"/>
        <w:sz w:val="18"/>
        <w:szCs w:val="18"/>
      </w:rPr>
      <w:instrText>PAGE</w:instrText>
    </w:r>
    <w:r w:rsidR="00200205">
      <w:rPr>
        <w:color w:val="64748B"/>
        <w:sz w:val="18"/>
        <w:szCs w:val="18"/>
      </w:rPr>
      <w:fldChar w:fldCharType="separate"/>
    </w:r>
    <w:r w:rsidR="00200205">
      <w:rPr>
        <w:noProof/>
        <w:color w:val="64748B"/>
        <w:sz w:val="18"/>
        <w:szCs w:val="18"/>
      </w:rPr>
      <w:t>8</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sidR="00200205">
      <w:rPr>
        <w:color w:val="64748B"/>
        <w:sz w:val="18"/>
        <w:szCs w:val="18"/>
      </w:rPr>
      <w:fldChar w:fldCharType="separate"/>
    </w:r>
    <w:r w:rsidR="00200205">
      <w:rPr>
        <w:noProof/>
        <w:color w:val="64748B"/>
        <w:sz w:val="18"/>
        <w:szCs w:val="18"/>
      </w:rPr>
      <w:t>8</w:t>
    </w:r>
    <w:r>
      <w:rPr>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154C" w:rsidRDefault="0078154C">
      <w:r>
        <w:separator/>
      </w:r>
    </w:p>
  </w:footnote>
  <w:footnote w:type="continuationSeparator" w:id="0">
    <w:p w:rsidR="0078154C" w:rsidRDefault="007815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5F59" w:rsidRDefault="0078154C">
    <w:r>
      <w:rPr>
        <w:b/>
        <w:bCs/>
        <w:color w:val="C19A6B"/>
        <w:sz w:val="20"/>
        <w:szCs w:val="20"/>
      </w:rPr>
      <w:t>TENTNOW.AE</w:t>
    </w:r>
    <w:r>
      <w:rPr>
        <w:color w:val="64748B"/>
        <w:sz w:val="18"/>
        <w:szCs w:val="18"/>
      </w:rPr>
      <w:t xml:space="preserve"> |</w:t>
    </w:r>
    <w:r>
      <w:rPr>
        <w:color w:val="64748B"/>
        <w:sz w:val="18"/>
        <w:szCs w:val="18"/>
      </w:rPr>
      <w:t xml:space="preserve"> Corporate Event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8C5309"/>
    <w:multiLevelType w:val="hybridMultilevel"/>
    <w:tmpl w:val="ACA259F4"/>
    <w:lvl w:ilvl="0" w:tplc="533EF6C0">
      <w:start w:val="1"/>
      <w:numFmt w:val="bullet"/>
      <w:lvlText w:val="•"/>
      <w:lvlJc w:val="left"/>
      <w:pPr>
        <w:ind w:left="720" w:hanging="360"/>
      </w:pPr>
    </w:lvl>
    <w:lvl w:ilvl="1" w:tplc="AF2A6F80">
      <w:numFmt w:val="decimal"/>
      <w:lvlText w:val=""/>
      <w:lvlJc w:val="left"/>
    </w:lvl>
    <w:lvl w:ilvl="2" w:tplc="1334EEF4">
      <w:numFmt w:val="decimal"/>
      <w:lvlText w:val=""/>
      <w:lvlJc w:val="left"/>
    </w:lvl>
    <w:lvl w:ilvl="3" w:tplc="C5C2466A">
      <w:numFmt w:val="decimal"/>
      <w:lvlText w:val=""/>
      <w:lvlJc w:val="left"/>
    </w:lvl>
    <w:lvl w:ilvl="4" w:tplc="D5E680D6">
      <w:numFmt w:val="decimal"/>
      <w:lvlText w:val=""/>
      <w:lvlJc w:val="left"/>
    </w:lvl>
    <w:lvl w:ilvl="5" w:tplc="17D820D0">
      <w:numFmt w:val="decimal"/>
      <w:lvlText w:val=""/>
      <w:lvlJc w:val="left"/>
    </w:lvl>
    <w:lvl w:ilvl="6" w:tplc="5336D126">
      <w:numFmt w:val="decimal"/>
      <w:lvlText w:val=""/>
      <w:lvlJc w:val="left"/>
    </w:lvl>
    <w:lvl w:ilvl="7" w:tplc="28DE30AA">
      <w:numFmt w:val="decimal"/>
      <w:lvlText w:val=""/>
      <w:lvlJc w:val="left"/>
    </w:lvl>
    <w:lvl w:ilvl="8" w:tplc="4AB0B93C">
      <w:numFmt w:val="decimal"/>
      <w:lvlText w:val=""/>
      <w:lvlJc w:val="left"/>
    </w:lvl>
  </w:abstractNum>
  <w:abstractNum w:abstractNumId="1">
    <w:nsid w:val="189534F4"/>
    <w:multiLevelType w:val="hybridMultilevel"/>
    <w:tmpl w:val="7676FFE8"/>
    <w:lvl w:ilvl="0" w:tplc="30EC1958">
      <w:start w:val="1"/>
      <w:numFmt w:val="decimal"/>
      <w:lvlText w:val="%1."/>
      <w:lvlJc w:val="left"/>
      <w:pPr>
        <w:ind w:left="720" w:hanging="360"/>
      </w:pPr>
    </w:lvl>
    <w:lvl w:ilvl="1" w:tplc="CE1A6ABE">
      <w:numFmt w:val="decimal"/>
      <w:lvlText w:val=""/>
      <w:lvlJc w:val="left"/>
    </w:lvl>
    <w:lvl w:ilvl="2" w:tplc="88102D7A">
      <w:numFmt w:val="decimal"/>
      <w:lvlText w:val=""/>
      <w:lvlJc w:val="left"/>
    </w:lvl>
    <w:lvl w:ilvl="3" w:tplc="0B5C09FC">
      <w:numFmt w:val="decimal"/>
      <w:lvlText w:val=""/>
      <w:lvlJc w:val="left"/>
    </w:lvl>
    <w:lvl w:ilvl="4" w:tplc="69D82198">
      <w:numFmt w:val="decimal"/>
      <w:lvlText w:val=""/>
      <w:lvlJc w:val="left"/>
    </w:lvl>
    <w:lvl w:ilvl="5" w:tplc="29DC32EC">
      <w:numFmt w:val="decimal"/>
      <w:lvlText w:val=""/>
      <w:lvlJc w:val="left"/>
    </w:lvl>
    <w:lvl w:ilvl="6" w:tplc="D7D21920">
      <w:numFmt w:val="decimal"/>
      <w:lvlText w:val=""/>
      <w:lvlJc w:val="left"/>
    </w:lvl>
    <w:lvl w:ilvl="7" w:tplc="66068FA0">
      <w:numFmt w:val="decimal"/>
      <w:lvlText w:val=""/>
      <w:lvlJc w:val="left"/>
    </w:lvl>
    <w:lvl w:ilvl="8" w:tplc="6E74AF8E">
      <w:numFmt w:val="decimal"/>
      <w:lvlText w:val=""/>
      <w:lvlJc w:val="left"/>
    </w:lvl>
  </w:abstractNum>
  <w:abstractNum w:abstractNumId="2">
    <w:nsid w:val="249F303C"/>
    <w:multiLevelType w:val="hybridMultilevel"/>
    <w:tmpl w:val="6FC2D4FA"/>
    <w:lvl w:ilvl="0" w:tplc="2ABE3316">
      <w:start w:val="1"/>
      <w:numFmt w:val="decimal"/>
      <w:lvlText w:val="%1."/>
      <w:lvlJc w:val="left"/>
      <w:pPr>
        <w:ind w:left="720" w:hanging="360"/>
      </w:pPr>
    </w:lvl>
    <w:lvl w:ilvl="1" w:tplc="3D9264E0">
      <w:numFmt w:val="decimal"/>
      <w:lvlText w:val=""/>
      <w:lvlJc w:val="left"/>
    </w:lvl>
    <w:lvl w:ilvl="2" w:tplc="6A2EC9DE">
      <w:numFmt w:val="decimal"/>
      <w:lvlText w:val=""/>
      <w:lvlJc w:val="left"/>
    </w:lvl>
    <w:lvl w:ilvl="3" w:tplc="ECDEA760">
      <w:numFmt w:val="decimal"/>
      <w:lvlText w:val=""/>
      <w:lvlJc w:val="left"/>
    </w:lvl>
    <w:lvl w:ilvl="4" w:tplc="ABBE2A92">
      <w:numFmt w:val="decimal"/>
      <w:lvlText w:val=""/>
      <w:lvlJc w:val="left"/>
    </w:lvl>
    <w:lvl w:ilvl="5" w:tplc="9B60382A">
      <w:numFmt w:val="decimal"/>
      <w:lvlText w:val=""/>
      <w:lvlJc w:val="left"/>
    </w:lvl>
    <w:lvl w:ilvl="6" w:tplc="052489DE">
      <w:numFmt w:val="decimal"/>
      <w:lvlText w:val=""/>
      <w:lvlJc w:val="left"/>
    </w:lvl>
    <w:lvl w:ilvl="7" w:tplc="89F2A1B6">
      <w:numFmt w:val="decimal"/>
      <w:lvlText w:val=""/>
      <w:lvlJc w:val="left"/>
    </w:lvl>
    <w:lvl w:ilvl="8" w:tplc="427AC286">
      <w:numFmt w:val="decimal"/>
      <w:lvlText w:val=""/>
      <w:lvlJc w:val="left"/>
    </w:lvl>
  </w:abstractNum>
  <w:abstractNum w:abstractNumId="3">
    <w:nsid w:val="420D379F"/>
    <w:multiLevelType w:val="hybridMultilevel"/>
    <w:tmpl w:val="39C00EBC"/>
    <w:lvl w:ilvl="0" w:tplc="C8305522">
      <w:start w:val="1"/>
      <w:numFmt w:val="decimal"/>
      <w:lvlText w:val="%1."/>
      <w:lvlJc w:val="left"/>
      <w:pPr>
        <w:ind w:left="720" w:hanging="360"/>
      </w:pPr>
    </w:lvl>
    <w:lvl w:ilvl="1" w:tplc="78E0A60A">
      <w:numFmt w:val="decimal"/>
      <w:lvlText w:val=""/>
      <w:lvlJc w:val="left"/>
    </w:lvl>
    <w:lvl w:ilvl="2" w:tplc="6CF2FD76">
      <w:numFmt w:val="decimal"/>
      <w:lvlText w:val=""/>
      <w:lvlJc w:val="left"/>
    </w:lvl>
    <w:lvl w:ilvl="3" w:tplc="1CBCA0B6">
      <w:numFmt w:val="decimal"/>
      <w:lvlText w:val=""/>
      <w:lvlJc w:val="left"/>
    </w:lvl>
    <w:lvl w:ilvl="4" w:tplc="0CB60630">
      <w:numFmt w:val="decimal"/>
      <w:lvlText w:val=""/>
      <w:lvlJc w:val="left"/>
    </w:lvl>
    <w:lvl w:ilvl="5" w:tplc="D68673C2">
      <w:numFmt w:val="decimal"/>
      <w:lvlText w:val=""/>
      <w:lvlJc w:val="left"/>
    </w:lvl>
    <w:lvl w:ilvl="6" w:tplc="5C78D106">
      <w:numFmt w:val="decimal"/>
      <w:lvlText w:val=""/>
      <w:lvlJc w:val="left"/>
    </w:lvl>
    <w:lvl w:ilvl="7" w:tplc="6646299C">
      <w:numFmt w:val="decimal"/>
      <w:lvlText w:val=""/>
      <w:lvlJc w:val="left"/>
    </w:lvl>
    <w:lvl w:ilvl="8" w:tplc="A2122F52">
      <w:numFmt w:val="decimal"/>
      <w:lvlText w:val=""/>
      <w:lvlJc w:val="left"/>
    </w:lvl>
  </w:abstractNum>
  <w:abstractNum w:abstractNumId="4">
    <w:nsid w:val="6401555E"/>
    <w:multiLevelType w:val="hybridMultilevel"/>
    <w:tmpl w:val="81E0E8BA"/>
    <w:lvl w:ilvl="0" w:tplc="ADB81FEA">
      <w:start w:val="1"/>
      <w:numFmt w:val="decimal"/>
      <w:lvlText w:val="%1."/>
      <w:lvlJc w:val="left"/>
      <w:pPr>
        <w:ind w:left="720" w:hanging="360"/>
      </w:pPr>
    </w:lvl>
    <w:lvl w:ilvl="1" w:tplc="AF087580">
      <w:numFmt w:val="decimal"/>
      <w:lvlText w:val=""/>
      <w:lvlJc w:val="left"/>
    </w:lvl>
    <w:lvl w:ilvl="2" w:tplc="41BA0614">
      <w:numFmt w:val="decimal"/>
      <w:lvlText w:val=""/>
      <w:lvlJc w:val="left"/>
    </w:lvl>
    <w:lvl w:ilvl="3" w:tplc="AA4E1EA8">
      <w:numFmt w:val="decimal"/>
      <w:lvlText w:val=""/>
      <w:lvlJc w:val="left"/>
    </w:lvl>
    <w:lvl w:ilvl="4" w:tplc="85D0DEE4">
      <w:numFmt w:val="decimal"/>
      <w:lvlText w:val=""/>
      <w:lvlJc w:val="left"/>
    </w:lvl>
    <w:lvl w:ilvl="5" w:tplc="586C9A54">
      <w:numFmt w:val="decimal"/>
      <w:lvlText w:val=""/>
      <w:lvlJc w:val="left"/>
    </w:lvl>
    <w:lvl w:ilvl="6" w:tplc="28C8FA32">
      <w:numFmt w:val="decimal"/>
      <w:lvlText w:val=""/>
      <w:lvlJc w:val="left"/>
    </w:lvl>
    <w:lvl w:ilvl="7" w:tplc="066A5512">
      <w:numFmt w:val="decimal"/>
      <w:lvlText w:val=""/>
      <w:lvlJc w:val="left"/>
    </w:lvl>
    <w:lvl w:ilvl="8" w:tplc="FC5E572A">
      <w:numFmt w:val="decimal"/>
      <w:lvlText w:val=""/>
      <w:lvlJc w:val="left"/>
    </w:lvl>
  </w:abstractNum>
  <w:abstractNum w:abstractNumId="5">
    <w:nsid w:val="7BDD16A8"/>
    <w:multiLevelType w:val="hybridMultilevel"/>
    <w:tmpl w:val="D10C4C5E"/>
    <w:lvl w:ilvl="0" w:tplc="2EFE2B2E">
      <w:start w:val="1"/>
      <w:numFmt w:val="bullet"/>
      <w:lvlText w:val="●"/>
      <w:lvlJc w:val="left"/>
      <w:pPr>
        <w:ind w:left="720" w:hanging="360"/>
      </w:pPr>
    </w:lvl>
    <w:lvl w:ilvl="1" w:tplc="00923A4A">
      <w:start w:val="1"/>
      <w:numFmt w:val="bullet"/>
      <w:lvlText w:val="○"/>
      <w:lvlJc w:val="left"/>
      <w:pPr>
        <w:ind w:left="1440" w:hanging="360"/>
      </w:pPr>
    </w:lvl>
    <w:lvl w:ilvl="2" w:tplc="8400827E">
      <w:start w:val="1"/>
      <w:numFmt w:val="bullet"/>
      <w:lvlText w:val="■"/>
      <w:lvlJc w:val="left"/>
      <w:pPr>
        <w:ind w:left="2160" w:hanging="360"/>
      </w:pPr>
    </w:lvl>
    <w:lvl w:ilvl="3" w:tplc="84E002CA">
      <w:start w:val="1"/>
      <w:numFmt w:val="bullet"/>
      <w:lvlText w:val="●"/>
      <w:lvlJc w:val="left"/>
      <w:pPr>
        <w:ind w:left="2880" w:hanging="360"/>
      </w:pPr>
    </w:lvl>
    <w:lvl w:ilvl="4" w:tplc="45B0CC7A">
      <w:start w:val="1"/>
      <w:numFmt w:val="bullet"/>
      <w:lvlText w:val="○"/>
      <w:lvlJc w:val="left"/>
      <w:pPr>
        <w:ind w:left="3600" w:hanging="360"/>
      </w:pPr>
    </w:lvl>
    <w:lvl w:ilvl="5" w:tplc="FEA2275E">
      <w:start w:val="1"/>
      <w:numFmt w:val="bullet"/>
      <w:lvlText w:val="■"/>
      <w:lvlJc w:val="left"/>
      <w:pPr>
        <w:ind w:left="4320" w:hanging="360"/>
      </w:pPr>
    </w:lvl>
    <w:lvl w:ilvl="6" w:tplc="9028CE4C">
      <w:start w:val="1"/>
      <w:numFmt w:val="bullet"/>
      <w:lvlText w:val="●"/>
      <w:lvlJc w:val="left"/>
      <w:pPr>
        <w:ind w:left="5040" w:hanging="360"/>
      </w:pPr>
    </w:lvl>
    <w:lvl w:ilvl="7" w:tplc="E17269E6">
      <w:start w:val="1"/>
      <w:numFmt w:val="bullet"/>
      <w:lvlText w:val="●"/>
      <w:lvlJc w:val="left"/>
      <w:pPr>
        <w:ind w:left="5760" w:hanging="360"/>
      </w:pPr>
    </w:lvl>
    <w:lvl w:ilvl="8" w:tplc="2986564C">
      <w:start w:val="1"/>
      <w:numFmt w:val="bullet"/>
      <w:lvlText w:val="●"/>
      <w:lvlJc w:val="left"/>
      <w:pPr>
        <w:ind w:left="6480" w:hanging="360"/>
      </w:pPr>
    </w:lvl>
  </w:abstractNum>
  <w:num w:numId="1">
    <w:abstractNumId w:val="5"/>
    <w:lvlOverride w:ilvl="0">
      <w:startOverride w:val="1"/>
    </w:lvlOverride>
  </w:num>
  <w:num w:numId="2">
    <w:abstractNumId w:val="4"/>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05F59"/>
    <w:rsid w:val="00200205"/>
    <w:rsid w:val="0078154C"/>
    <w:rsid w:val="00A05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00" w:after="150"/>
      <w:outlineLvl w:val="0"/>
    </w:pPr>
    <w:rPr>
      <w:b/>
      <w:bCs/>
      <w:color w:val="020617"/>
      <w:sz w:val="28"/>
      <w:szCs w:val="28"/>
    </w:rPr>
  </w:style>
  <w:style w:type="paragraph" w:styleId="Heading2">
    <w:name w:val="heading 2"/>
    <w:qFormat/>
    <w:pPr>
      <w:spacing w:before="250" w:after="120"/>
      <w:outlineLvl w:val="1"/>
    </w:pPr>
    <w:rPr>
      <w:b/>
      <w:bCs/>
      <w:color w:val="1E293B"/>
      <w:sz w:val="24"/>
      <w:szCs w:val="24"/>
    </w:rPr>
  </w:style>
  <w:style w:type="paragraph" w:styleId="Heading3">
    <w:name w:val="heading 3"/>
    <w:qFormat/>
    <w:pPr>
      <w:spacing w:before="200" w:after="100"/>
      <w:outlineLvl w:val="2"/>
    </w:pPr>
    <w:rPr>
      <w:b/>
      <w:bCs/>
      <w:color w:val="64748B"/>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pPr>
      <w:spacing w:before="200" w:after="300"/>
      <w:jc w:val="center"/>
    </w:pPr>
    <w:rPr>
      <w:b/>
      <w:bCs/>
      <w:color w:val="020617"/>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00" w:after="150"/>
      <w:outlineLvl w:val="0"/>
    </w:pPr>
    <w:rPr>
      <w:b/>
      <w:bCs/>
      <w:color w:val="020617"/>
      <w:sz w:val="28"/>
      <w:szCs w:val="28"/>
    </w:rPr>
  </w:style>
  <w:style w:type="paragraph" w:styleId="Heading2">
    <w:name w:val="heading 2"/>
    <w:qFormat/>
    <w:pPr>
      <w:spacing w:before="250" w:after="120"/>
      <w:outlineLvl w:val="1"/>
    </w:pPr>
    <w:rPr>
      <w:b/>
      <w:bCs/>
      <w:color w:val="1E293B"/>
      <w:sz w:val="24"/>
      <w:szCs w:val="24"/>
    </w:rPr>
  </w:style>
  <w:style w:type="paragraph" w:styleId="Heading3">
    <w:name w:val="heading 3"/>
    <w:qFormat/>
    <w:pPr>
      <w:spacing w:before="200" w:after="100"/>
      <w:outlineLvl w:val="2"/>
    </w:pPr>
    <w:rPr>
      <w:b/>
      <w:bCs/>
      <w:color w:val="64748B"/>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pPr>
      <w:spacing w:before="200" w:after="300"/>
      <w:jc w:val="center"/>
    </w:pPr>
    <w:rPr>
      <w:b/>
      <w:bCs/>
      <w:color w:val="020617"/>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3510</Words>
  <Characters>20009</Characters>
  <Application>Microsoft Office Word</Application>
  <DocSecurity>0</DocSecurity>
  <Lines>166</Lines>
  <Paragraphs>46</Paragraphs>
  <ScaleCrop>false</ScaleCrop>
  <Company/>
  <LinksUpToDate>false</LinksUpToDate>
  <CharactersWithSpaces>23473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786</cp:lastModifiedBy>
  <cp:revision>2</cp:revision>
  <dcterms:created xsi:type="dcterms:W3CDTF">2026-03-12T17:54:00Z</dcterms:created>
  <dcterms:modified xsi:type="dcterms:W3CDTF">2026-03-12T18:03:00Z</dcterms:modified>
</cp:coreProperties>
</file>