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_rels/footer3.xml.rels" ContentType="application/vnd.openxmlformats-package.relationships+xml"/>
  <Override PartName="/word/footer3.xml" ContentType="application/vnd.openxmlformats-officedocument.wordprocessingml.footer+xml"/>
  <Override PartName="/word/header3.xml" ContentType="application/vnd.openxmlformats-officedocument.wordprocessingml.header+xml"/>
  <Override PartName="/word/styles.xml" ContentType="application/vnd.openxmlformats-officedocument.wordprocessingml.styles+xml"/>
  <Override PartName="/word/media/image1.jpeg" ContentType="image/jpeg"/>
  <Override PartName="/word/media/image3.wmf" ContentType="image/x-wmf"/>
  <Override PartName="/word/media/image2.jpeg" ContentType="image/jpeg"/>
  <Override PartName="/word/media/image4.jpeg" ContentType="image/jpeg"/>
  <Override PartName="/word/header1.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tbl>
      <w:tblPr>
        <w:tblW w:w="9631" w:type="dxa"/>
        <w:jc w:val="start"/>
        <w:tblInd w:w="8" w:type="dxa"/>
        <w:tblCellMar>
          <w:top w:w="0" w:type="dxa"/>
          <w:start w:w="0" w:type="dxa"/>
          <w:bottom w:w="0" w:type="dxa"/>
          <w:end w:w="0" w:type="dxa"/>
        </w:tblCellMar>
      </w:tblPr>
      <w:tblGrid>
        <w:gridCol w:w="2969"/>
        <w:gridCol w:w="6662"/>
      </w:tblGrid>
      <w:tr>
        <w:trPr>
          <w:trHeight w:val="2404" w:hRule="atLeast"/>
        </w:trPr>
        <w:tc>
          <w:tcPr>
            <w:tcW w:w="2969" w:type="dxa"/>
            <w:tcBorders>
              <w:bottom w:val="single" w:sz="12" w:space="0" w:color="000000"/>
            </w:tcBorders>
            <w:shd w:fill="auto" w:val="clear"/>
          </w:tcPr>
          <w:p>
            <w:pPr>
              <w:pStyle w:val="Header"/>
              <w:tabs>
                <w:tab w:val="center" w:pos="4320" w:leader="none"/>
                <w:tab w:val="right" w:pos="8640" w:leader="none"/>
                <w:tab w:val="right" w:pos="9072" w:leader="none"/>
              </w:tabs>
              <w:snapToGrid w:val="false"/>
              <w:jc w:val="center"/>
              <w:rPr>
                <w:b/>
                <w:b/>
                <w:position w:val="12"/>
                <w:sz w:val="16"/>
              </w:rPr>
            </w:pPr>
            <w:r>
              <w:rPr>
                <w:b/>
                <w:position w:val="12"/>
                <w:sz w:val="16"/>
              </w:rPr>
            </w:r>
          </w:p>
          <w:p>
            <w:pPr>
              <w:pStyle w:val="Header"/>
              <w:tabs>
                <w:tab w:val="center" w:pos="4320" w:leader="none"/>
                <w:tab w:val="right" w:pos="8640" w:leader="none"/>
                <w:tab w:val="right" w:pos="9072" w:leader="none"/>
              </w:tabs>
              <w:jc w:val="center"/>
              <w:rPr>
                <w:b/>
                <w:b/>
                <w:position w:val="17"/>
                <w:sz w:val="16"/>
              </w:rPr>
            </w:pPr>
            <w:r>
              <w:rPr/>
              <w:drawing>
                <wp:inline distT="0" distB="0" distL="0" distR="0">
                  <wp:extent cx="1619885" cy="112585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8" t="-26" r="-18" b="-26"/>
                          <a:stretch>
                            <a:fillRect/>
                          </a:stretch>
                        </pic:blipFill>
                        <pic:spPr bwMode="auto">
                          <a:xfrm>
                            <a:off x="0" y="0"/>
                            <a:ext cx="1619885" cy="1125855"/>
                          </a:xfrm>
                          <a:prstGeom prst="rect">
                            <a:avLst/>
                          </a:prstGeom>
                        </pic:spPr>
                      </pic:pic>
                    </a:graphicData>
                  </a:graphic>
                </wp:inline>
              </w:drawing>
            </w:r>
          </w:p>
          <w:p>
            <w:pPr>
              <w:pStyle w:val="Header"/>
              <w:tabs>
                <w:tab w:val="center" w:pos="4320" w:leader="none"/>
                <w:tab w:val="right" w:pos="8640" w:leader="none"/>
                <w:tab w:val="right" w:pos="9072" w:leader="none"/>
              </w:tabs>
              <w:jc w:val="center"/>
              <w:rPr>
                <w:b/>
                <w:b/>
                <w:position w:val="12"/>
                <w:sz w:val="16"/>
              </w:rPr>
            </w:pPr>
            <w:r>
              <w:rPr>
                <w:b/>
                <w:position w:val="12"/>
                <w:sz w:val="16"/>
              </w:rPr>
            </w:r>
          </w:p>
        </w:tc>
        <w:tc>
          <w:tcPr>
            <w:tcW w:w="6662" w:type="dxa"/>
            <w:tcBorders>
              <w:bottom w:val="single" w:sz="12" w:space="0" w:color="000000"/>
            </w:tcBorders>
            <w:shd w:fill="auto" w:val="clear"/>
          </w:tcPr>
          <w:p>
            <w:pPr>
              <w:pStyle w:val="Header"/>
              <w:tabs>
                <w:tab w:val="center" w:pos="4320" w:leader="none"/>
                <w:tab w:val="right" w:pos="8640" w:leader="none"/>
                <w:tab w:val="right" w:pos="9072" w:leader="none"/>
              </w:tabs>
              <w:snapToGrid w:val="false"/>
              <w:ind w:start="142" w:hanging="0"/>
              <w:rPr>
                <w:b/>
                <w:b/>
                <w:position w:val="18"/>
                <w:sz w:val="24"/>
              </w:rPr>
            </w:pPr>
            <w:r>
              <w:rPr>
                <w:b/>
                <w:position w:val="18"/>
                <w:sz w:val="24"/>
              </w:rPr>
            </w:r>
          </w:p>
          <w:p>
            <w:pPr>
              <w:pStyle w:val="Header"/>
              <w:tabs>
                <w:tab w:val="center" w:pos="4320" w:leader="none"/>
                <w:tab w:val="right" w:pos="8640" w:leader="none"/>
                <w:tab w:val="right" w:pos="9072" w:leader="none"/>
              </w:tabs>
              <w:ind w:start="142" w:hanging="0"/>
              <w:rPr>
                <w:b/>
                <w:b/>
                <w:sz w:val="24"/>
              </w:rPr>
            </w:pPr>
            <w:r>
              <w:rPr>
                <w:b/>
                <w:sz w:val="24"/>
              </w:rPr>
            </w:r>
          </w:p>
          <w:p>
            <w:pPr>
              <w:pStyle w:val="Header"/>
              <w:tabs>
                <w:tab w:val="center" w:pos="4320" w:leader="none"/>
                <w:tab w:val="right" w:pos="8640" w:leader="none"/>
                <w:tab w:val="right" w:pos="9072" w:leader="none"/>
              </w:tabs>
              <w:ind w:start="142" w:hanging="0"/>
              <w:rPr/>
            </w:pPr>
            <w:r>
              <w:rPr>
                <w:b/>
                <w:sz w:val="24"/>
              </w:rPr>
              <w:t>Universidad</w:t>
            </w:r>
            <w:r>
              <w:rPr>
                <w:rFonts w:eastAsia="Arial"/>
                <w:b/>
                <w:sz w:val="24"/>
              </w:rPr>
              <w:t xml:space="preserve"> </w:t>
            </w:r>
            <w:r>
              <w:rPr>
                <w:b/>
                <w:sz w:val="24"/>
              </w:rPr>
              <w:t>Tecnológica</w:t>
            </w:r>
            <w:r>
              <w:rPr>
                <w:rFonts w:eastAsia="Arial"/>
                <w:b/>
                <w:sz w:val="24"/>
              </w:rPr>
              <w:t xml:space="preserve"> </w:t>
            </w:r>
            <w:r>
              <w:rPr>
                <w:b/>
                <w:sz w:val="24"/>
              </w:rPr>
              <w:t>Nacional</w:t>
            </w:r>
          </w:p>
          <w:p>
            <w:pPr>
              <w:pStyle w:val="Header"/>
              <w:tabs>
                <w:tab w:val="center" w:pos="4320" w:leader="none"/>
                <w:tab w:val="right" w:pos="8640" w:leader="none"/>
                <w:tab w:val="right" w:pos="9072" w:leader="none"/>
              </w:tabs>
              <w:ind w:start="142" w:hanging="0"/>
              <w:rPr/>
            </w:pPr>
            <w:r>
              <w:rPr>
                <w:b/>
                <w:sz w:val="24"/>
              </w:rPr>
              <w:t>Facultad</w:t>
            </w:r>
            <w:r>
              <w:rPr>
                <w:rFonts w:eastAsia="Arial"/>
                <w:b/>
                <w:sz w:val="24"/>
              </w:rPr>
              <w:t xml:space="preserve"> </w:t>
            </w:r>
            <w:r>
              <w:rPr>
                <w:b/>
                <w:sz w:val="24"/>
              </w:rPr>
              <w:t>Regional</w:t>
            </w:r>
            <w:r>
              <w:rPr>
                <w:rFonts w:eastAsia="Arial"/>
                <w:b/>
                <w:sz w:val="24"/>
              </w:rPr>
              <w:t xml:space="preserve"> </w:t>
            </w:r>
            <w:r>
              <w:rPr>
                <w:b/>
                <w:sz w:val="24"/>
              </w:rPr>
              <w:t>Buenos</w:t>
            </w:r>
            <w:r>
              <w:rPr>
                <w:rFonts w:eastAsia="Arial"/>
                <w:b/>
                <w:sz w:val="24"/>
              </w:rPr>
              <w:t xml:space="preserve"> </w:t>
            </w:r>
            <w:r>
              <w:rPr>
                <w:b/>
                <w:sz w:val="24"/>
              </w:rPr>
              <w:t>Aires</w:t>
            </w:r>
          </w:p>
          <w:p>
            <w:pPr>
              <w:pStyle w:val="Header"/>
              <w:tabs>
                <w:tab w:val="center" w:pos="4320" w:leader="none"/>
                <w:tab w:val="right" w:pos="8640" w:leader="none"/>
                <w:tab w:val="right" w:pos="9072" w:leader="none"/>
              </w:tabs>
              <w:ind w:start="142" w:hanging="0"/>
              <w:rPr/>
            </w:pPr>
            <w:r>
              <w:rPr>
                <w:b/>
                <w:sz w:val="24"/>
              </w:rPr>
              <w:t>Ingeniería</w:t>
            </w:r>
            <w:r>
              <w:rPr>
                <w:rFonts w:eastAsia="Arial"/>
                <w:b/>
                <w:sz w:val="24"/>
              </w:rPr>
              <w:t xml:space="preserve"> </w:t>
            </w:r>
            <w:r>
              <w:rPr>
                <w:b/>
                <w:sz w:val="24"/>
              </w:rPr>
              <w:t>en</w:t>
            </w:r>
            <w:r>
              <w:rPr>
                <w:rFonts w:eastAsia="Arial"/>
                <w:b/>
                <w:sz w:val="24"/>
              </w:rPr>
              <w:t xml:space="preserve"> </w:t>
            </w:r>
            <w:r>
              <w:rPr>
                <w:b/>
                <w:sz w:val="24"/>
              </w:rPr>
              <w:t>Sistemas</w:t>
            </w:r>
            <w:r>
              <w:rPr>
                <w:rFonts w:eastAsia="Arial"/>
                <w:b/>
                <w:sz w:val="24"/>
              </w:rPr>
              <w:t xml:space="preserve"> </w:t>
            </w:r>
            <w:r>
              <w:rPr>
                <w:b/>
                <w:sz w:val="24"/>
              </w:rPr>
              <w:t>de</w:t>
            </w:r>
            <w:r>
              <w:rPr>
                <w:rFonts w:eastAsia="Arial"/>
                <w:b/>
                <w:sz w:val="24"/>
              </w:rPr>
              <w:t xml:space="preserve"> </w:t>
            </w:r>
            <w:r>
              <w:rPr>
                <w:b/>
                <w:sz w:val="24"/>
              </w:rPr>
              <w:t>Información</w:t>
            </w:r>
          </w:p>
          <w:p>
            <w:pPr>
              <w:pStyle w:val="Header"/>
              <w:tabs>
                <w:tab w:val="left" w:pos="567" w:leader="none"/>
                <w:tab w:val="center" w:pos="4320" w:leader="none"/>
                <w:tab w:val="right" w:pos="8640" w:leader="none"/>
                <w:tab w:val="right" w:pos="9072" w:leader="none"/>
              </w:tabs>
              <w:spacing w:before="0" w:after="120"/>
              <w:ind w:start="142" w:hanging="0"/>
              <w:rPr>
                <w:b/>
                <w:b/>
                <w:position w:val="12"/>
                <w:sz w:val="24"/>
              </w:rPr>
            </w:pPr>
            <w:r>
              <w:rPr>
                <w:b/>
                <w:position w:val="12"/>
                <w:sz w:val="24"/>
              </w:rPr>
            </w:r>
          </w:p>
        </w:tc>
      </w:tr>
    </w:tbl>
    <w:p>
      <w:pPr>
        <w:pStyle w:val="WWEpgrafe"/>
        <w:rPr>
          <w:highlight w:val="yellow"/>
        </w:rPr>
      </w:pPr>
      <w:r>
        <w:rPr/>
        <w:t>curso:</w:t>
      </w:r>
      <w:r>
        <w:rPr>
          <w:rFonts w:eastAsia="Arial"/>
        </w:rPr>
        <w:t xml:space="preserve"> K5071 - 2 Cuat. 2016</w:t>
      </w:r>
    </w:p>
    <w:p>
      <w:pPr>
        <w:pStyle w:val="Normal"/>
        <w:tabs>
          <w:tab w:val="clear" w:pos="720"/>
          <w:tab w:val="left" w:pos="6804" w:leader="none"/>
        </w:tabs>
        <w:spacing w:before="240" w:after="0"/>
        <w:jc w:val="center"/>
        <w:rPr>
          <w:b/>
          <w:b/>
          <w:sz w:val="32"/>
          <w:u w:val="single"/>
        </w:rPr>
      </w:pPr>
      <w:r>
        <w:rPr>
          <w:b/>
          <w:sz w:val="32"/>
          <w:u w:val="single"/>
        </w:rPr>
        <w:t>Marketing en Internet y Nueva Economía</w:t>
      </w:r>
    </w:p>
    <w:p>
      <w:pPr>
        <w:pStyle w:val="TextBody"/>
        <w:rPr>
          <w:b w:val="false"/>
          <w:b w:val="false"/>
          <w:sz w:val="28"/>
          <w:u w:val="single"/>
        </w:rPr>
      </w:pPr>
      <w:r>
        <w:rPr>
          <w:b w:val="false"/>
          <w:sz w:val="28"/>
          <w:u w:val="single"/>
        </w:rPr>
      </w:r>
    </w:p>
    <w:p>
      <w:pPr>
        <w:pStyle w:val="TextBody"/>
        <w:rPr>
          <w:b w:val="false"/>
          <w:b w:val="false"/>
          <w:i/>
          <w:i/>
          <w:sz w:val="24"/>
          <w:u w:val="none"/>
        </w:rPr>
      </w:pPr>
      <w:r>
        <w:rPr>
          <w:sz w:val="24"/>
        </w:rPr>
        <w:t>Profesor</w:t>
      </w:r>
      <w:r>
        <w:rPr>
          <w:sz w:val="24"/>
          <w:u w:val="none"/>
        </w:rPr>
        <w:t>:</w:t>
      </w:r>
      <w:r>
        <w:rPr>
          <w:b w:val="false"/>
          <w:sz w:val="24"/>
          <w:u w:val="none"/>
        </w:rPr>
        <w:tab/>
        <w:tab/>
      </w:r>
      <w:r>
        <w:rPr>
          <w:b w:val="false"/>
          <w:i/>
          <w:sz w:val="24"/>
          <w:u w:val="none"/>
        </w:rPr>
        <w:t>Dr. Alejandro Prince</w:t>
      </w:r>
    </w:p>
    <w:p>
      <w:pPr>
        <w:pStyle w:val="TextBody"/>
        <w:ind w:start="1440" w:firstLine="720"/>
        <w:rPr>
          <w:b w:val="false"/>
          <w:b w:val="false"/>
          <w:i/>
          <w:i/>
          <w:sz w:val="16"/>
          <w:szCs w:val="16"/>
          <w:u w:val="none"/>
        </w:rPr>
      </w:pPr>
      <w:r>
        <w:rPr>
          <w:b w:val="false"/>
          <w:i/>
          <w:sz w:val="16"/>
          <w:szCs w:val="16"/>
          <w:u w:val="none"/>
        </w:rPr>
      </w:r>
    </w:p>
    <w:p>
      <w:pPr>
        <w:pStyle w:val="TextBody"/>
        <w:rPr/>
      </w:pPr>
      <w:r>
        <w:rPr>
          <w:sz w:val="24"/>
        </w:rPr>
        <w:t>Ayudante</w:t>
      </w:r>
      <w:r>
        <w:rPr>
          <w:sz w:val="24"/>
          <w:u w:val="none"/>
        </w:rPr>
        <w:t>:</w:t>
      </w:r>
      <w:r>
        <w:rPr>
          <w:b w:val="false"/>
          <w:sz w:val="24"/>
          <w:u w:val="none"/>
        </w:rPr>
        <w:tab/>
        <w:tab/>
      </w:r>
      <w:r>
        <w:rPr>
          <w:b w:val="false"/>
          <w:i/>
          <w:sz w:val="24"/>
          <w:u w:val="none"/>
        </w:rPr>
        <w:t>Ing. Hernán Borré</w:t>
      </w:r>
      <w:r>
        <w:rPr>
          <w:b w:val="false"/>
          <w:sz w:val="24"/>
          <w:u w:val="none"/>
        </w:rPr>
        <w:tab/>
      </w:r>
      <w:r>
        <w:rPr>
          <w:rFonts w:eastAsia="Arial"/>
          <w:b w:val="false"/>
          <w:i/>
          <w:sz w:val="24"/>
          <w:u w:val="none"/>
        </w:rPr>
        <w:t xml:space="preserve">  </w:t>
      </w:r>
    </w:p>
    <w:p>
      <w:pPr>
        <w:pStyle w:val="TextBody"/>
        <w:rPr>
          <w:b w:val="false"/>
          <w:b w:val="false"/>
          <w:i/>
          <w:i/>
          <w:sz w:val="24"/>
          <w:u w:val="none"/>
        </w:rPr>
      </w:pPr>
      <w:r>
        <w:rPr>
          <w:b w:val="false"/>
          <w:i/>
          <w:sz w:val="24"/>
          <w:u w:val="none"/>
        </w:rPr>
        <w:tab/>
        <w:tab/>
      </w:r>
    </w:p>
    <w:p>
      <w:pPr>
        <w:pStyle w:val="TextBody"/>
        <w:rPr>
          <w:b w:val="false"/>
          <w:b w:val="false"/>
          <w:i/>
          <w:i/>
          <w:sz w:val="24"/>
          <w:u w:val="none"/>
        </w:rPr>
      </w:pPr>
      <w:r>
        <w:rPr>
          <w:b w:val="false"/>
          <w:i/>
          <w:sz w:val="24"/>
          <w:u w:val="none"/>
        </w:rPr>
      </w:r>
    </w:p>
    <w:p>
      <w:pPr>
        <w:pStyle w:val="TextBody"/>
        <w:rPr>
          <w:b w:val="false"/>
          <w:b w:val="false"/>
          <w:i/>
          <w:i/>
          <w:sz w:val="24"/>
          <w:highlight w:val="yellow"/>
          <w:u w:val="none"/>
        </w:rPr>
      </w:pPr>
      <w:r>
        <w:rPr>
          <w:sz w:val="24"/>
        </w:rPr>
        <w:t>Trabajo</w:t>
      </w:r>
      <w:r>
        <w:rPr>
          <w:rFonts w:eastAsia="Arial"/>
          <w:sz w:val="24"/>
        </w:rPr>
        <w:t xml:space="preserve"> </w:t>
      </w:r>
      <w:r>
        <w:rPr>
          <w:sz w:val="24"/>
        </w:rPr>
        <w:t>Práctico 4</w:t>
      </w:r>
      <w:r>
        <w:rPr>
          <w:sz w:val="24"/>
          <w:u w:val="none"/>
        </w:rPr>
        <w:t>:</w:t>
      </w:r>
      <w:r>
        <w:rPr>
          <w:rFonts w:eastAsia="Arial"/>
          <w:b w:val="false"/>
          <w:i/>
          <w:sz w:val="24"/>
          <w:u w:val="none"/>
        </w:rPr>
        <w:t xml:space="preserve"> </w:t>
      </w:r>
      <w:r>
        <w:rPr>
          <w:b w:val="false"/>
          <w:i/>
          <w:sz w:val="24"/>
          <w:u w:val="none"/>
        </w:rPr>
        <w:t xml:space="preserve"> Difusión y Adopción</w:t>
      </w:r>
    </w:p>
    <w:p>
      <w:pPr>
        <w:pStyle w:val="TextBody"/>
        <w:rPr>
          <w:b w:val="false"/>
          <w:b w:val="false"/>
          <w:i/>
          <w:i/>
          <w:sz w:val="24"/>
          <w:highlight w:val="yellow"/>
          <w:u w:val="none"/>
        </w:rPr>
      </w:pPr>
      <w:r>
        <w:rPr>
          <w:b w:val="false"/>
          <w:i/>
          <w:sz w:val="24"/>
          <w:u w:val="none"/>
          <w:shd w:fill="FFFF00" w:val="clear"/>
        </w:rPr>
      </w:r>
    </w:p>
    <w:p>
      <w:pPr>
        <w:pStyle w:val="TextBody"/>
        <w:rPr>
          <w:b w:val="false"/>
          <w:b w:val="false"/>
          <w:i/>
          <w:i/>
          <w:sz w:val="24"/>
          <w:u w:val="none"/>
        </w:rPr>
      </w:pPr>
      <w:r>
        <w:rPr>
          <w:b w:val="false"/>
          <w:i/>
          <w:sz w:val="24"/>
          <w:u w:val="none"/>
        </w:rPr>
      </w:r>
    </w:p>
    <w:tbl>
      <w:tblPr>
        <w:tblW w:w="9200" w:type="dxa"/>
        <w:jc w:val="start"/>
        <w:tblInd w:w="0" w:type="dxa"/>
        <w:tblCellMar>
          <w:top w:w="0" w:type="dxa"/>
          <w:start w:w="108" w:type="dxa"/>
          <w:bottom w:w="0" w:type="dxa"/>
          <w:end w:w="108" w:type="dxa"/>
        </w:tblCellMar>
      </w:tblPr>
      <w:tblGrid>
        <w:gridCol w:w="3814"/>
        <w:gridCol w:w="1645"/>
        <w:gridCol w:w="3741"/>
      </w:tblGrid>
      <w:tr>
        <w:trPr>
          <w:cantSplit w:val="true"/>
        </w:trPr>
        <w:tc>
          <w:tcPr>
            <w:tcW w:w="9200" w:type="dxa"/>
            <w:gridSpan w:val="3"/>
            <w:tcBorders>
              <w:top w:val="double" w:sz="6" w:space="0" w:color="000000"/>
              <w:start w:val="double" w:sz="6" w:space="0" w:color="000000"/>
              <w:bottom w:val="single" w:sz="6" w:space="0" w:color="000000"/>
              <w:end w:val="double" w:sz="6" w:space="0" w:color="000000"/>
            </w:tcBorders>
            <w:shd w:fill="4C4C4C" w:val="clear"/>
          </w:tcPr>
          <w:p>
            <w:pPr>
              <w:pStyle w:val="Normal"/>
              <w:snapToGrid w:val="false"/>
              <w:spacing w:lineRule="auto" w:line="240" w:before="20" w:after="20"/>
              <w:jc w:val="center"/>
              <w:rPr>
                <w:b/>
                <w:b/>
                <w:i/>
                <w:i/>
                <w:color w:val="FFFFFF"/>
                <w:sz w:val="24"/>
                <w:szCs w:val="24"/>
                <w:highlight w:val="yellow"/>
              </w:rPr>
            </w:pPr>
            <w:r>
              <w:rPr>
                <w:b/>
                <w:i/>
                <w:color w:val="FFFFFF"/>
                <w:sz w:val="24"/>
                <w:szCs w:val="24"/>
                <w:shd w:fill="FFFF00" w:val="clear"/>
              </w:rPr>
            </w:r>
          </w:p>
        </w:tc>
      </w:tr>
      <w:tr>
        <w:trPr/>
        <w:tc>
          <w:tcPr>
            <w:tcW w:w="3814" w:type="dxa"/>
            <w:tcBorders>
              <w:top w:val="single" w:sz="6" w:space="0" w:color="000000"/>
              <w:start w:val="double" w:sz="6" w:space="0" w:color="000000"/>
              <w:bottom w:val="single" w:sz="6" w:space="0" w:color="000000"/>
            </w:tcBorders>
            <w:shd w:fill="4C4C4C" w:val="clear"/>
          </w:tcPr>
          <w:p>
            <w:pPr>
              <w:pStyle w:val="Normal"/>
              <w:snapToGrid w:val="false"/>
              <w:spacing w:lineRule="auto" w:line="240" w:before="20" w:after="20"/>
              <w:jc w:val="center"/>
              <w:rPr/>
            </w:pPr>
            <w:r>
              <w:rPr>
                <w:color w:val="FFFFFF"/>
                <w:sz w:val="24"/>
                <w:szCs w:val="24"/>
              </w:rPr>
              <w:t>NOMBRE</w:t>
            </w:r>
            <w:r>
              <w:rPr>
                <w:rFonts w:eastAsia="Arial"/>
                <w:color w:val="FFFFFF"/>
                <w:sz w:val="24"/>
                <w:szCs w:val="24"/>
              </w:rPr>
              <w:t xml:space="preserve"> </w:t>
            </w:r>
            <w:r>
              <w:rPr>
                <w:color w:val="FFFFFF"/>
                <w:sz w:val="24"/>
                <w:szCs w:val="24"/>
              </w:rPr>
              <w:t>Y</w:t>
            </w:r>
            <w:r>
              <w:rPr>
                <w:rFonts w:eastAsia="Arial"/>
                <w:color w:val="FFFFFF"/>
                <w:sz w:val="24"/>
                <w:szCs w:val="24"/>
              </w:rPr>
              <w:t xml:space="preserve"> </w:t>
            </w:r>
            <w:r>
              <w:rPr>
                <w:color w:val="FFFFFF"/>
                <w:sz w:val="24"/>
                <w:szCs w:val="24"/>
              </w:rPr>
              <w:t>APELLIDO</w:t>
            </w:r>
          </w:p>
        </w:tc>
        <w:tc>
          <w:tcPr>
            <w:tcW w:w="1645" w:type="dxa"/>
            <w:tcBorders>
              <w:top w:val="single" w:sz="6" w:space="0" w:color="000000"/>
              <w:start w:val="single" w:sz="6" w:space="0" w:color="000000"/>
              <w:bottom w:val="single" w:sz="6" w:space="0" w:color="000000"/>
            </w:tcBorders>
            <w:shd w:fill="4C4C4C" w:val="clear"/>
          </w:tcPr>
          <w:p>
            <w:pPr>
              <w:pStyle w:val="Normal"/>
              <w:snapToGrid w:val="false"/>
              <w:spacing w:lineRule="auto" w:line="240" w:before="20" w:after="20"/>
              <w:jc w:val="center"/>
              <w:rPr/>
            </w:pPr>
            <w:r>
              <w:rPr>
                <w:color w:val="FFFFFF"/>
                <w:sz w:val="24"/>
                <w:szCs w:val="24"/>
              </w:rPr>
              <w:t>LEGAJO</w:t>
            </w:r>
            <w:r>
              <w:rPr>
                <w:rFonts w:eastAsia="Arial"/>
                <w:color w:val="FFFFFF"/>
                <w:sz w:val="24"/>
                <w:szCs w:val="24"/>
              </w:rPr>
              <w:t xml:space="preserve"> </w:t>
            </w:r>
            <w:r>
              <w:rPr>
                <w:color w:val="FFFFFF"/>
                <w:sz w:val="24"/>
                <w:szCs w:val="24"/>
              </w:rPr>
              <w:t>N°</w:t>
            </w:r>
          </w:p>
        </w:tc>
        <w:tc>
          <w:tcPr>
            <w:tcW w:w="3741" w:type="dxa"/>
            <w:tcBorders>
              <w:top w:val="single" w:sz="6" w:space="0" w:color="000000"/>
              <w:start w:val="single" w:sz="6" w:space="0" w:color="000000"/>
              <w:bottom w:val="single" w:sz="6" w:space="0" w:color="000000"/>
              <w:end w:val="double" w:sz="6" w:space="0" w:color="000000"/>
            </w:tcBorders>
            <w:shd w:fill="4C4C4C" w:val="clear"/>
          </w:tcPr>
          <w:p>
            <w:pPr>
              <w:pStyle w:val="Normal"/>
              <w:snapToGrid w:val="false"/>
              <w:spacing w:lineRule="auto" w:line="240" w:before="20" w:after="20"/>
              <w:jc w:val="center"/>
              <w:rPr/>
            </w:pPr>
            <w:r>
              <w:rPr>
                <w:color w:val="FFFFFF"/>
                <w:sz w:val="24"/>
                <w:szCs w:val="24"/>
              </w:rPr>
              <w:t>EMAIL</w:t>
            </w:r>
            <w:r>
              <w:rPr>
                <w:rFonts w:eastAsia="Arial"/>
                <w:color w:val="FFFFFF"/>
                <w:sz w:val="24"/>
                <w:szCs w:val="24"/>
              </w:rPr>
              <w:t xml:space="preserve"> </w:t>
            </w:r>
            <w:r>
              <w:rPr>
                <w:color w:val="FFFFFF"/>
                <w:sz w:val="24"/>
                <w:szCs w:val="24"/>
              </w:rPr>
              <w:t>CONTACTO</w:t>
            </w:r>
          </w:p>
        </w:tc>
      </w:tr>
      <w:tr>
        <w:trPr/>
        <w:tc>
          <w:tcPr>
            <w:tcW w:w="3814" w:type="dxa"/>
            <w:tcBorders>
              <w:top w:val="single" w:sz="6" w:space="0" w:color="000000"/>
              <w:start w:val="double" w:sz="6" w:space="0" w:color="000000"/>
              <w:bottom w:val="single" w:sz="6" w:space="0" w:color="000000"/>
            </w:tcBorders>
            <w:shd w:fill="auto" w:val="clear"/>
          </w:tcPr>
          <w:p>
            <w:pPr>
              <w:pStyle w:val="Normal"/>
              <w:snapToGrid w:val="false"/>
              <w:spacing w:lineRule="auto" w:line="240" w:before="20" w:after="20"/>
              <w:rPr>
                <w:b/>
                <w:b/>
                <w:color w:val="FFFFFF"/>
                <w:sz w:val="24"/>
                <w:szCs w:val="24"/>
              </w:rPr>
            </w:pPr>
            <w:r>
              <w:rPr>
                <w:sz w:val="24"/>
                <w:szCs w:val="24"/>
              </w:rPr>
              <w:t>Luis Sosa</w:t>
            </w:r>
          </w:p>
        </w:tc>
        <w:tc>
          <w:tcPr>
            <w:tcW w:w="1645" w:type="dxa"/>
            <w:tcBorders>
              <w:top w:val="single" w:sz="6" w:space="0" w:color="000000"/>
              <w:start w:val="single" w:sz="6" w:space="0" w:color="000000"/>
              <w:bottom w:val="single" w:sz="6" w:space="0" w:color="000000"/>
            </w:tcBorders>
            <w:shd w:fill="auto" w:val="clear"/>
          </w:tcPr>
          <w:p>
            <w:pPr>
              <w:pStyle w:val="Normal"/>
              <w:snapToGrid w:val="false"/>
              <w:spacing w:lineRule="auto" w:line="240" w:before="20" w:after="20"/>
              <w:jc w:val="center"/>
              <w:rPr>
                <w:sz w:val="24"/>
                <w:szCs w:val="24"/>
              </w:rPr>
            </w:pPr>
            <w:r>
              <w:rPr>
                <w:sz w:val="24"/>
                <w:szCs w:val="24"/>
              </w:rPr>
              <w:t>1152180</w:t>
            </w:r>
          </w:p>
        </w:tc>
        <w:tc>
          <w:tcPr>
            <w:tcW w:w="3741" w:type="dxa"/>
            <w:tcBorders>
              <w:top w:val="single" w:sz="6" w:space="0" w:color="000000"/>
              <w:start w:val="single" w:sz="6" w:space="0" w:color="000000"/>
              <w:bottom w:val="single" w:sz="6" w:space="0" w:color="000000"/>
              <w:end w:val="double" w:sz="6" w:space="0" w:color="000000"/>
            </w:tcBorders>
            <w:shd w:fill="auto" w:val="clear"/>
          </w:tcPr>
          <w:p>
            <w:pPr>
              <w:pStyle w:val="Normal"/>
              <w:snapToGrid w:val="false"/>
              <w:spacing w:lineRule="auto" w:line="240" w:before="20" w:after="20"/>
              <w:jc w:val="center"/>
              <w:rPr>
                <w:sz w:val="24"/>
                <w:szCs w:val="24"/>
              </w:rPr>
            </w:pPr>
            <w:hyperlink r:id="rId3">
              <w:r>
                <w:rPr>
                  <w:rStyle w:val="InternetLink"/>
                  <w:sz w:val="24"/>
                  <w:szCs w:val="24"/>
                </w:rPr>
                <w:t>luiss81@gmail.com</w:t>
              </w:r>
            </w:hyperlink>
          </w:p>
        </w:tc>
      </w:tr>
    </w:tbl>
    <w:p>
      <w:pPr>
        <w:pStyle w:val="TextBody"/>
        <w:rPr>
          <w:sz w:val="24"/>
        </w:rPr>
      </w:pPr>
      <w:r>
        <w:rPr>
          <w:sz w:val="24"/>
        </w:rPr>
      </w:r>
    </w:p>
    <w:p>
      <w:pPr>
        <w:pStyle w:val="TextBody"/>
        <w:rPr>
          <w:sz w:val="24"/>
        </w:rPr>
      </w:pPr>
      <w:r>
        <w:rPr>
          <w:sz w:val="24"/>
        </w:rPr>
      </w:r>
    </w:p>
    <w:p>
      <w:pPr>
        <w:pStyle w:val="TextBody"/>
        <w:rPr>
          <w:rFonts w:eastAsia="Arial"/>
          <w:sz w:val="24"/>
          <w:u w:val="none"/>
        </w:rPr>
      </w:pPr>
      <w:r>
        <w:rPr>
          <w:sz w:val="24"/>
        </w:rPr>
        <w:t>Fecha</w:t>
      </w:r>
      <w:r>
        <w:rPr>
          <w:rFonts w:eastAsia="Arial"/>
          <w:sz w:val="24"/>
        </w:rPr>
        <w:t xml:space="preserve"> </w:t>
      </w:r>
      <w:r>
        <w:rPr>
          <w:sz w:val="24"/>
        </w:rPr>
        <w:t>de</w:t>
      </w:r>
      <w:r>
        <w:rPr>
          <w:rFonts w:eastAsia="Arial"/>
          <w:sz w:val="24"/>
        </w:rPr>
        <w:t xml:space="preserve"> </w:t>
      </w:r>
      <w:r>
        <w:rPr>
          <w:sz w:val="24"/>
        </w:rPr>
        <w:t>entrega</w:t>
      </w:r>
      <w:r>
        <w:rPr>
          <w:sz w:val="24"/>
          <w:u w:val="none"/>
        </w:rPr>
        <w:t>:</w:t>
      </w:r>
      <w:r>
        <w:rPr>
          <w:rFonts w:eastAsia="Arial"/>
          <w:sz w:val="24"/>
          <w:u w:val="none"/>
        </w:rPr>
        <w:t xml:space="preserve">    </w:t>
      </w:r>
    </w:p>
    <w:p>
      <w:pPr>
        <w:pStyle w:val="TextBody"/>
        <w:rPr/>
      </w:pPr>
      <w:r>
        <w:rPr>
          <w:rFonts w:eastAsia="Arial"/>
          <w:sz w:val="24"/>
          <w:u w:val="none"/>
        </w:rPr>
        <w:t xml:space="preserve">26/09/2016      </w:t>
      </w:r>
    </w:p>
    <w:p>
      <w:pPr>
        <w:sectPr>
          <w:headerReference w:type="default" r:id="rId4"/>
          <w:headerReference w:type="first" r:id="rId5"/>
          <w:footerReference w:type="default" r:id="rId6"/>
          <w:footerReference w:type="first" r:id="rId7"/>
          <w:type w:val="nextPage"/>
          <w:pgSz w:w="11906" w:h="16838"/>
          <w:pgMar w:left="1134" w:right="1134" w:header="1134" w:top="1379" w:footer="1134" w:bottom="1379" w:gutter="0"/>
          <w:pgNumType w:fmt="decimal"/>
          <w:formProt w:val="false"/>
          <w:titlePg/>
          <w:textDirection w:val="lrTb"/>
          <w:docGrid w:type="default" w:linePitch="360" w:charSpace="0"/>
        </w:sectPr>
      </w:pPr>
    </w:p>
    <w:p>
      <w:pPr>
        <w:pStyle w:val="Header"/>
        <w:tabs>
          <w:tab w:val="clear" w:pos="4320"/>
          <w:tab w:val="clear" w:pos="8640"/>
        </w:tabs>
        <w:rPr>
          <w:rFonts w:eastAsia="Arial"/>
          <w:sz w:val="24"/>
          <w:u w:val="none"/>
        </w:rPr>
      </w:pPr>
      <w:r>
        <w:rPr>
          <w:rFonts w:eastAsia="Arial"/>
          <w:sz w:val="24"/>
          <w:u w:val="none"/>
        </w:rPr>
      </w:r>
      <w:r>
        <w:br w:type="page"/>
      </w:r>
    </w:p>
    <w:p>
      <w:pPr>
        <w:pStyle w:val="Heading1"/>
        <w:rPr/>
      </w:pPr>
      <w:r>
        <w:rPr>
          <w:sz w:val="24"/>
          <w:szCs w:val="24"/>
        </w:rPr>
        <w:t xml:space="preserve">¿Qué se entiende por difusión y adopción de innovaciones? </w:t>
      </w:r>
    </w:p>
    <w:p>
      <w:pPr>
        <w:pStyle w:val="Normal"/>
        <w:rPr>
          <w:sz w:val="20"/>
        </w:rPr>
      </w:pPr>
      <w:r>
        <w:rPr>
          <w:sz w:val="20"/>
        </w:rPr>
        <w:t>Se entiende por difusión y adopción de innovaciones al proceso por el cual una innovación (producto, tecnología, idea, etc.) es percibida y adoptada por miembros, grupos y/u organizaciones en una cierta comunidad o espacio a lo largo del tiempo.</w:t>
      </w:r>
    </w:p>
    <w:p>
      <w:pPr>
        <w:pStyle w:val="Normal"/>
        <w:rPr>
          <w:sz w:val="20"/>
        </w:rPr>
      </w:pPr>
      <w:r>
        <w:rPr>
          <w:sz w:val="20"/>
        </w:rPr>
      </w:r>
    </w:p>
    <w:p>
      <w:pPr>
        <w:pStyle w:val="Heading1"/>
        <w:jc w:val="start"/>
        <w:rPr>
          <w:sz w:val="24"/>
          <w:szCs w:val="24"/>
        </w:rPr>
      </w:pPr>
      <w:r>
        <w:rPr>
          <w:sz w:val="24"/>
          <w:szCs w:val="24"/>
        </w:rPr>
        <w:t>Diferencie la posición la posición instrumentalista de la determinista</w:t>
      </w:r>
    </w:p>
    <w:p>
      <w:pPr>
        <w:pStyle w:val="Normal"/>
        <w:rPr>
          <w:sz w:val="20"/>
        </w:rPr>
      </w:pPr>
      <w:r>
        <w:rPr>
          <w:sz w:val="20"/>
        </w:rPr>
        <w:t xml:space="preserve">La posición </w:t>
      </w:r>
      <w:r>
        <w:rPr>
          <w:b/>
          <w:sz w:val="20"/>
          <w:u w:val="single"/>
        </w:rPr>
        <w:t>instrumentalista</w:t>
      </w:r>
      <w:r>
        <w:rPr>
          <w:sz w:val="20"/>
        </w:rPr>
        <w:t xml:space="preserve"> plantea que la tecnología cambia y evoluciona como consecuencia de las aspiraciones y evoluciones humanas sociales (primero la necesidad, entonces la tecnología). En cambio, la posición </w:t>
      </w:r>
      <w:r>
        <w:rPr>
          <w:b/>
          <w:sz w:val="20"/>
          <w:u w:val="single"/>
        </w:rPr>
        <w:t>determinista</w:t>
      </w:r>
      <w:r>
        <w:rPr>
          <w:sz w:val="20"/>
        </w:rPr>
        <w:t xml:space="preserve"> plantea que la tecnología no evoluciona a causa de los cambios del hombre, sino que ésta actúa en paralelo e independiente del hombre, es entonces que los cambios sociales ocurren.</w:t>
      </w:r>
    </w:p>
    <w:p>
      <w:pPr>
        <w:pStyle w:val="Normal"/>
        <w:rPr>
          <w:sz w:val="20"/>
        </w:rPr>
      </w:pPr>
      <w:r>
        <w:rPr>
          <w:sz w:val="20"/>
        </w:rPr>
      </w:r>
    </w:p>
    <w:p>
      <w:pPr>
        <w:pStyle w:val="Heading1"/>
        <w:rPr>
          <w:sz w:val="24"/>
          <w:szCs w:val="24"/>
        </w:rPr>
      </w:pPr>
      <w:r>
        <w:rPr>
          <w:sz w:val="24"/>
          <w:szCs w:val="24"/>
        </w:rPr>
        <w:t xml:space="preserve">Indique los 5 determinantes principales del proceso de difusión según Rogers </w:t>
      </w:r>
    </w:p>
    <w:p>
      <w:pPr>
        <w:pStyle w:val="Normal"/>
        <w:suppressAutoHyphens w:val="false"/>
        <w:autoSpaceDE w:val="false"/>
        <w:jc w:val="start"/>
        <w:rPr>
          <w:rFonts w:eastAsia="Calibri"/>
          <w:sz w:val="20"/>
          <w:lang w:eastAsia="en-US"/>
        </w:rPr>
      </w:pPr>
      <w:r>
        <w:rPr>
          <w:rFonts w:eastAsia="Calibri"/>
          <w:sz w:val="20"/>
          <w:lang w:eastAsia="en-US"/>
        </w:rPr>
        <w:t>Rogers define cinco determinantes principales en el proceso de difusión:</w:t>
      </w:r>
    </w:p>
    <w:p>
      <w:pPr>
        <w:pStyle w:val="Normal"/>
        <w:numPr>
          <w:ilvl w:val="0"/>
          <w:numId w:val="3"/>
        </w:numPr>
        <w:suppressAutoHyphens w:val="false"/>
        <w:autoSpaceDE w:val="false"/>
        <w:jc w:val="start"/>
        <w:rPr>
          <w:rFonts w:eastAsia="Calibri"/>
          <w:sz w:val="20"/>
          <w:lang w:eastAsia="en-US"/>
        </w:rPr>
      </w:pPr>
      <w:r>
        <w:rPr>
          <w:rFonts w:eastAsia="Calibri"/>
          <w:sz w:val="20"/>
          <w:lang w:eastAsia="en-US"/>
        </w:rPr>
        <w:t xml:space="preserve">Las </w:t>
      </w:r>
      <w:r>
        <w:rPr>
          <w:rFonts w:eastAsia="Calibri"/>
          <w:sz w:val="20"/>
          <w:u w:val="single"/>
          <w:lang w:eastAsia="en-US"/>
        </w:rPr>
        <w:t>Características de la innovación</w:t>
      </w:r>
      <w:r>
        <w:rPr>
          <w:rFonts w:eastAsia="Calibri"/>
          <w:sz w:val="20"/>
          <w:lang w:eastAsia="en-US"/>
        </w:rPr>
        <w:t xml:space="preserve"> que pueden influenciar su adopción</w:t>
      </w:r>
    </w:p>
    <w:p>
      <w:pPr>
        <w:pStyle w:val="Normal"/>
        <w:numPr>
          <w:ilvl w:val="0"/>
          <w:numId w:val="3"/>
        </w:numPr>
        <w:suppressAutoHyphens w:val="false"/>
        <w:autoSpaceDE w:val="false"/>
        <w:jc w:val="start"/>
        <w:rPr/>
      </w:pPr>
      <w:r>
        <w:rPr>
          <w:rFonts w:eastAsia="Calibri"/>
          <w:sz w:val="20"/>
          <w:lang w:eastAsia="en-US"/>
        </w:rPr>
        <w:t xml:space="preserve">El </w:t>
      </w:r>
      <w:r>
        <w:rPr>
          <w:rFonts w:eastAsia="Calibri"/>
          <w:sz w:val="20"/>
          <w:u w:val="single"/>
          <w:lang w:eastAsia="en-US"/>
        </w:rPr>
        <w:t>procedimiento de Decisión</w:t>
      </w:r>
      <w:r>
        <w:rPr>
          <w:rFonts w:eastAsia="Calibri"/>
          <w:sz w:val="20"/>
          <w:lang w:eastAsia="en-US"/>
        </w:rPr>
        <w:t>, que ocurre cuando los individuos consideran adoptar una nueva idea, producto o práctica.</w:t>
      </w:r>
    </w:p>
    <w:p>
      <w:pPr>
        <w:pStyle w:val="Normal"/>
        <w:numPr>
          <w:ilvl w:val="0"/>
          <w:numId w:val="3"/>
        </w:numPr>
        <w:suppressAutoHyphens w:val="false"/>
        <w:autoSpaceDE w:val="false"/>
        <w:jc w:val="start"/>
        <w:rPr/>
      </w:pPr>
      <w:r>
        <w:rPr>
          <w:rFonts w:eastAsia="Calibri"/>
          <w:sz w:val="20"/>
          <w:lang w:eastAsia="en-US"/>
        </w:rPr>
        <w:t xml:space="preserve">Las </w:t>
      </w:r>
      <w:r>
        <w:rPr>
          <w:rFonts w:eastAsia="Calibri"/>
          <w:sz w:val="20"/>
          <w:u w:val="single"/>
          <w:lang w:eastAsia="en-US"/>
        </w:rPr>
        <w:t>características de los individuos</w:t>
      </w:r>
      <w:r>
        <w:rPr>
          <w:rFonts w:eastAsia="Calibri"/>
          <w:sz w:val="20"/>
          <w:lang w:eastAsia="en-US"/>
        </w:rPr>
        <w:t xml:space="preserve"> que se muestran de acuerdo con adoptar una innovación.</w:t>
      </w:r>
    </w:p>
    <w:p>
      <w:pPr>
        <w:pStyle w:val="Normal"/>
        <w:numPr>
          <w:ilvl w:val="0"/>
          <w:numId w:val="3"/>
        </w:numPr>
        <w:suppressAutoHyphens w:val="false"/>
        <w:autoSpaceDE w:val="false"/>
        <w:jc w:val="start"/>
        <w:rPr/>
      </w:pPr>
      <w:r>
        <w:rPr>
          <w:rFonts w:eastAsia="Calibri"/>
          <w:sz w:val="20"/>
          <w:lang w:eastAsia="en-US"/>
        </w:rPr>
        <w:t xml:space="preserve">Las </w:t>
      </w:r>
      <w:r>
        <w:rPr>
          <w:rFonts w:eastAsia="Calibri"/>
          <w:sz w:val="20"/>
          <w:u w:val="single"/>
          <w:lang w:eastAsia="en-US"/>
        </w:rPr>
        <w:t>consecuencias o beneficios</w:t>
      </w:r>
      <w:r>
        <w:rPr>
          <w:rFonts w:eastAsia="Calibri"/>
          <w:sz w:val="20"/>
          <w:lang w:eastAsia="en-US"/>
        </w:rPr>
        <w:t xml:space="preserve"> para los individuos y para la sociedad de adoptar una innovación.</w:t>
      </w:r>
    </w:p>
    <w:p>
      <w:pPr>
        <w:pStyle w:val="Normal"/>
        <w:numPr>
          <w:ilvl w:val="0"/>
          <w:numId w:val="3"/>
        </w:numPr>
        <w:suppressAutoHyphens w:val="false"/>
        <w:autoSpaceDE w:val="false"/>
        <w:jc w:val="start"/>
        <w:rPr>
          <w:rFonts w:eastAsia="Calibri"/>
          <w:sz w:val="20"/>
          <w:lang w:eastAsia="en-US"/>
        </w:rPr>
      </w:pPr>
      <w:r>
        <w:rPr>
          <w:rFonts w:eastAsia="Calibri"/>
          <w:sz w:val="20"/>
          <w:lang w:eastAsia="en-US"/>
        </w:rPr>
        <w:t xml:space="preserve">Los </w:t>
      </w:r>
      <w:r>
        <w:rPr>
          <w:rFonts w:eastAsia="Calibri"/>
          <w:sz w:val="20"/>
          <w:u w:val="single"/>
          <w:lang w:eastAsia="en-US"/>
        </w:rPr>
        <w:t>canales de comunicación</w:t>
      </w:r>
      <w:r>
        <w:rPr>
          <w:rFonts w:eastAsia="Calibri"/>
          <w:sz w:val="20"/>
          <w:lang w:eastAsia="en-US"/>
        </w:rPr>
        <w:t xml:space="preserve"> usados en este proceso de adopción.</w:t>
      </w:r>
    </w:p>
    <w:p>
      <w:pPr>
        <w:pStyle w:val="Normal"/>
        <w:rPr>
          <w:rFonts w:eastAsia="Calibri"/>
          <w:sz w:val="20"/>
          <w:lang w:eastAsia="en-US"/>
        </w:rPr>
      </w:pPr>
      <w:r>
        <w:rPr>
          <w:rFonts w:eastAsia="Calibri"/>
          <w:sz w:val="20"/>
          <w:lang w:eastAsia="en-US"/>
        </w:rPr>
      </w:r>
    </w:p>
    <w:p>
      <w:pPr>
        <w:pStyle w:val="Heading1"/>
        <w:rPr>
          <w:sz w:val="24"/>
          <w:szCs w:val="24"/>
        </w:rPr>
      </w:pPr>
      <w:r>
        <w:rPr>
          <w:sz w:val="24"/>
          <w:szCs w:val="24"/>
        </w:rPr>
        <w:t>Explique según Rogers las 5 categorías de integrantes de la adopción. Grafique</w:t>
      </w:r>
    </w:p>
    <w:p>
      <w:pPr>
        <w:pStyle w:val="Normal"/>
        <w:rPr/>
      </w:pPr>
      <w:r>
        <w:rPr>
          <w:sz w:val="20"/>
        </w:rPr>
        <w:t>Las 5 categorías de integrantes de la adopción son:</w:t>
      </w:r>
    </w:p>
    <w:p>
      <w:pPr>
        <w:pStyle w:val="Normal"/>
        <w:numPr>
          <w:ilvl w:val="0"/>
          <w:numId w:val="5"/>
        </w:numPr>
        <w:rPr/>
      </w:pPr>
      <w:r>
        <w:rPr>
          <w:sz w:val="20"/>
          <w:u w:val="single"/>
        </w:rPr>
        <w:t>Innovadores</w:t>
      </w:r>
      <w:r>
        <w:rPr>
          <w:sz w:val="20"/>
        </w:rPr>
        <w:t>: Gente promotora del cambio, aquellos que toman el producto sin importar su importancia actual en el mercado.</w:t>
      </w:r>
    </w:p>
    <w:p>
      <w:pPr>
        <w:pStyle w:val="Normal"/>
        <w:numPr>
          <w:ilvl w:val="0"/>
          <w:numId w:val="5"/>
        </w:numPr>
        <w:rPr/>
      </w:pPr>
      <w:r>
        <w:rPr>
          <w:sz w:val="20"/>
          <w:u w:val="single"/>
        </w:rPr>
        <w:t>Adoptantes Temprano</w:t>
      </w:r>
      <w:r>
        <w:rPr>
          <w:sz w:val="20"/>
        </w:rPr>
        <w:t>: Líderes de opinión que les gusta probar nuevas ideas.</w:t>
      </w:r>
    </w:p>
    <w:p>
      <w:pPr>
        <w:pStyle w:val="Normal"/>
        <w:numPr>
          <w:ilvl w:val="0"/>
          <w:numId w:val="5"/>
        </w:numPr>
        <w:rPr/>
      </w:pPr>
      <w:r>
        <w:rPr>
          <w:sz w:val="20"/>
          <w:u w:val="single"/>
        </w:rPr>
        <w:t>Mayoría temprana</w:t>
      </w:r>
      <w:r>
        <w:rPr>
          <w:sz w:val="20"/>
        </w:rPr>
        <w:t>: Gente racional que acepta el cambio más rápido que la media.</w:t>
      </w:r>
    </w:p>
    <w:p>
      <w:pPr>
        <w:pStyle w:val="Normal"/>
        <w:numPr>
          <w:ilvl w:val="0"/>
          <w:numId w:val="5"/>
        </w:numPr>
        <w:rPr/>
      </w:pPr>
      <w:r>
        <w:rPr>
          <w:sz w:val="20"/>
          <w:u w:val="single"/>
        </w:rPr>
        <w:t>Mayoría tardía</w:t>
      </w:r>
      <w:r>
        <w:rPr>
          <w:sz w:val="20"/>
        </w:rPr>
        <w:t>: Gente escéptica, usa los productos recién cuando la mayoría los está utilizando.</w:t>
      </w:r>
    </w:p>
    <w:p>
      <w:pPr>
        <w:pStyle w:val="Normal"/>
        <w:numPr>
          <w:ilvl w:val="0"/>
          <w:numId w:val="5"/>
        </w:numPr>
        <w:rPr/>
      </w:pPr>
      <w:r>
        <w:rPr>
          <w:sz w:val="20"/>
          <w:u w:val="single"/>
        </w:rPr>
        <w:t>Rezagados</w:t>
      </w:r>
      <w:r>
        <w:rPr>
          <w:sz w:val="20"/>
        </w:rPr>
        <w:t>: Gente tradicional, sólo las acepta cuando éstas ya se han convertido en tradición.</w:t>
      </w:r>
    </w:p>
    <w:p>
      <w:pPr>
        <w:pStyle w:val="Normal"/>
        <w:ind w:start="720" w:hanging="0"/>
        <w:rPr>
          <w:sz w:val="20"/>
          <w:u w:val="single"/>
        </w:rPr>
      </w:pPr>
      <w:r>
        <w:rPr>
          <w:sz w:val="20"/>
          <w:u w:val="single"/>
        </w:rPr>
      </w:r>
    </w:p>
    <w:p>
      <w:pPr>
        <w:pStyle w:val="Normal"/>
        <w:ind w:start="720" w:hanging="0"/>
        <w:rPr>
          <w:color w:val="44546A"/>
          <w:sz w:val="24"/>
          <w:lang w:val="en-US" w:eastAsia="en-US"/>
        </w:rPr>
      </w:pPr>
      <w:r>
        <w:rPr>
          <w:color w:val="44546A"/>
          <w:sz w:val="24"/>
          <w:lang w:val="en-US" w:eastAsia="en-US"/>
        </w:rPr>
        <w:drawing>
          <wp:inline distT="0" distB="0" distL="0" distR="0">
            <wp:extent cx="5607685" cy="2251710"/>
            <wp:effectExtent l="0" t="0" r="0" b="0"/>
            <wp:docPr id="3" name="Imagen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 title=""/>
                    <pic:cNvPicPr>
                      <a:picLocks noChangeAspect="1" noChangeArrowheads="1"/>
                    </pic:cNvPicPr>
                  </pic:nvPicPr>
                  <pic:blipFill>
                    <a:blip r:embed="rId8"/>
                    <a:srcRect l="-3" t="-8" r="-3" b="-8"/>
                    <a:stretch>
                      <a:fillRect/>
                    </a:stretch>
                  </pic:blipFill>
                  <pic:spPr bwMode="auto">
                    <a:xfrm>
                      <a:off x="0" y="0"/>
                      <a:ext cx="5607685" cy="2251710"/>
                    </a:xfrm>
                    <a:prstGeom prst="rect">
                      <a:avLst/>
                    </a:prstGeom>
                  </pic:spPr>
                </pic:pic>
              </a:graphicData>
            </a:graphic>
          </wp:inline>
        </w:drawing>
      </w:r>
    </w:p>
    <w:p>
      <w:pPr>
        <w:pStyle w:val="Normal"/>
        <w:ind w:start="720" w:hanging="0"/>
        <w:rPr>
          <w:rFonts w:eastAsia="Arial"/>
        </w:rPr>
      </w:pPr>
      <w:r>
        <w:rPr>
          <w:rFonts w:eastAsia="Arial"/>
        </w:rPr>
        <w:t xml:space="preserve"> </w:t>
      </w:r>
    </w:p>
    <w:p>
      <w:pPr>
        <w:pStyle w:val="Heading1"/>
        <w:rPr>
          <w:sz w:val="24"/>
          <w:szCs w:val="24"/>
        </w:rPr>
      </w:pPr>
      <w:r>
        <w:rPr>
          <w:sz w:val="24"/>
          <w:szCs w:val="24"/>
        </w:rPr>
        <w:t xml:space="preserve">Defina según Rogers a los innovadores y adoptantes temporarios </w:t>
      </w:r>
    </w:p>
    <w:p>
      <w:pPr>
        <w:pStyle w:val="Normal"/>
        <w:rPr>
          <w:sz w:val="20"/>
        </w:rPr>
      </w:pPr>
      <w:r>
        <w:rPr>
          <w:sz w:val="20"/>
        </w:rPr>
        <w:t xml:space="preserve">Los </w:t>
      </w:r>
      <w:r>
        <w:rPr>
          <w:b/>
          <w:sz w:val="20"/>
          <w:u w:val="single"/>
        </w:rPr>
        <w:t>innovadores o entusiastas</w:t>
      </w:r>
      <w:r>
        <w:rPr>
          <w:sz w:val="20"/>
        </w:rPr>
        <w:t xml:space="preserve"> suelen ser gente propensa al riesgo, atrevida, con los medios necesarios para afrontar tales riesgos, suficientemente hábiles para adoptar una innovación compleja y aceptar su incertidumbre. </w:t>
      </w:r>
    </w:p>
    <w:p>
      <w:pPr>
        <w:pStyle w:val="Normal"/>
        <w:rPr/>
      </w:pPr>
      <w:r>
        <w:rPr>
          <w:sz w:val="20"/>
        </w:rPr>
        <w:t xml:space="preserve">Los </w:t>
      </w:r>
      <w:r>
        <w:rPr>
          <w:b/>
          <w:sz w:val="20"/>
          <w:u w:val="single"/>
        </w:rPr>
        <w:t>adoptantes tempranos o visionarios</w:t>
      </w:r>
      <w:r>
        <w:rPr>
          <w:sz w:val="20"/>
        </w:rPr>
        <w:t>, en cambio, son gente no tan individualista sino respetada por sus pares, éstos suelen ser líderes en opinión y considerados exitosos.</w:t>
      </w:r>
    </w:p>
    <w:p>
      <w:pPr>
        <w:pStyle w:val="Normal"/>
        <w:rPr/>
      </w:pPr>
      <w:r>
        <w:rPr/>
        <w:tab/>
      </w:r>
    </w:p>
    <w:p>
      <w:pPr>
        <w:pStyle w:val="Heading1"/>
        <w:rPr>
          <w:sz w:val="24"/>
          <w:szCs w:val="24"/>
        </w:rPr>
      </w:pPr>
      <w:r>
        <w:rPr>
          <w:sz w:val="24"/>
          <w:szCs w:val="24"/>
        </w:rPr>
        <w:t>¿Qué es la personalización masiva? Explique la progresión del valor</w:t>
      </w:r>
    </w:p>
    <w:p>
      <w:pPr>
        <w:pStyle w:val="Normal"/>
        <w:rPr>
          <w:sz w:val="20"/>
        </w:rPr>
      </w:pPr>
      <w:r>
        <w:rPr>
          <w:sz w:val="20"/>
        </w:rPr>
        <w:t xml:space="preserve">Los </w:t>
      </w:r>
      <w:r>
        <w:rPr>
          <w:b/>
          <w:sz w:val="20"/>
          <w:u w:val="single"/>
        </w:rPr>
        <w:t>rezagados o escépticos</w:t>
      </w:r>
      <w:r>
        <w:rPr>
          <w:sz w:val="20"/>
        </w:rPr>
        <w:t xml:space="preserve"> no poseen liderazgo de opinión, suelen estar aislados de los otros grupos teniendo como referencia principal cosas del pasado. Toda innovación la toman con reticencia y se les dificulta afrontar el cambio. Tampoco poseen demasiados recursos para afrontar las innovaciones.</w:t>
      </w:r>
    </w:p>
    <w:p>
      <w:pPr>
        <w:pStyle w:val="Normal"/>
        <w:rPr>
          <w:sz w:val="20"/>
        </w:rPr>
      </w:pPr>
      <w:r>
        <w:rPr>
          <w:sz w:val="20"/>
        </w:rPr>
      </w:r>
    </w:p>
    <w:p>
      <w:pPr>
        <w:pStyle w:val="Heading1"/>
        <w:rPr>
          <w:sz w:val="24"/>
          <w:szCs w:val="24"/>
        </w:rPr>
      </w:pPr>
      <w:r>
        <w:rPr>
          <w:sz w:val="24"/>
          <w:szCs w:val="24"/>
        </w:rPr>
        <w:t>Explique según Rosemberg el rol del aprendizaje en la adopción</w:t>
      </w:r>
    </w:p>
    <w:p>
      <w:pPr>
        <w:pStyle w:val="Normal"/>
        <w:rPr>
          <w:sz w:val="20"/>
        </w:rPr>
      </w:pPr>
      <w:r>
        <w:rPr>
          <w:sz w:val="20"/>
        </w:rPr>
        <w:t>El aprendizaje sirve a modo de retroalimentación de la innovación. Así la innovación, “aprende” de sus usos y usuarios y lo devuelve en versiones mejoradas o ampliadas en prestaciones, facilidad de uso, etc.</w:t>
      </w:r>
    </w:p>
    <w:p>
      <w:pPr>
        <w:pStyle w:val="Normal"/>
        <w:rPr>
          <w:sz w:val="20"/>
        </w:rPr>
      </w:pPr>
      <w:r>
        <w:rPr>
          <w:sz w:val="20"/>
        </w:rPr>
      </w:r>
    </w:p>
    <w:p>
      <w:pPr>
        <w:pStyle w:val="Heading1"/>
        <w:rPr/>
      </w:pPr>
      <w:r>
        <w:rPr>
          <w:sz w:val="24"/>
          <w:szCs w:val="24"/>
        </w:rPr>
        <w:t>Explique según HALL el rol de los costos hundidos en la adopción y porque ésta es un ¨absorbing state”</w:t>
      </w:r>
    </w:p>
    <w:p>
      <w:pPr>
        <w:pStyle w:val="Normal"/>
        <w:rPr/>
      </w:pPr>
      <w:r>
        <w:rPr>
          <w:sz w:val="20"/>
        </w:rPr>
        <w:t>Los costos “hundidos” en el proceso de adopción, sobre todo los no monetarios como el de aprendizaje, son aquellos costos iniciales incurridos al momento de la decisión de adopción. Si bien pueden existir costos de mantenimiento, reparación, servicio o uso, suelen ser muy menores.</w:t>
      </w:r>
    </w:p>
    <w:p>
      <w:pPr>
        <w:pStyle w:val="Normal"/>
        <w:rPr/>
      </w:pPr>
      <w:r>
        <w:rPr>
          <w:b/>
          <w:sz w:val="20"/>
          <w:u w:val="single"/>
        </w:rPr>
        <w:t>Absorbing state</w:t>
      </w:r>
      <w:r>
        <w:rPr>
          <w:sz w:val="20"/>
        </w:rPr>
        <w:t xml:space="preserve"> es un “viaje de ida”, ya que no es nada usual ver el retorno a modalidades o tecnologías anteriores. Discontinuar el uso es perder todos los beneficios, aunque sean menos de los esperados, sin recuperar ni una mínima parte del costo enterrado o hundido</w:t>
      </w:r>
    </w:p>
    <w:p>
      <w:pPr>
        <w:pStyle w:val="Normal"/>
        <w:rPr/>
      </w:pPr>
      <w:r>
        <w:rPr/>
      </w:r>
    </w:p>
    <w:p>
      <w:pPr>
        <w:pStyle w:val="Heading1"/>
        <w:rPr>
          <w:sz w:val="24"/>
          <w:szCs w:val="24"/>
        </w:rPr>
      </w:pPr>
      <w:r>
        <w:rPr>
          <w:sz w:val="24"/>
          <w:szCs w:val="24"/>
        </w:rPr>
        <w:t>Según Caselli y Coleman cuales son los principales determinantes de adopción de PC, comparado entre diversos países</w:t>
      </w:r>
    </w:p>
    <w:p>
      <w:pPr>
        <w:pStyle w:val="Normal"/>
        <w:rPr>
          <w:sz w:val="20"/>
        </w:rPr>
      </w:pPr>
      <w:r>
        <w:rPr>
          <w:sz w:val="20"/>
        </w:rPr>
        <w:t>Los 4 principales determinantes de adopción de PC son:</w:t>
      </w:r>
    </w:p>
    <w:p>
      <w:pPr>
        <w:pStyle w:val="Normal"/>
        <w:numPr>
          <w:ilvl w:val="0"/>
          <w:numId w:val="6"/>
        </w:numPr>
        <w:rPr>
          <w:sz w:val="20"/>
        </w:rPr>
      </w:pPr>
      <w:r>
        <w:rPr>
          <w:sz w:val="20"/>
        </w:rPr>
        <w:t>Las fuentes y tipo de comercio con otros países, los países con grandes importaciones manufactureras desde países de la OECD tienen niveles mayores de adopción.</w:t>
      </w:r>
    </w:p>
    <w:p>
      <w:pPr>
        <w:pStyle w:val="Normal"/>
        <w:numPr>
          <w:ilvl w:val="0"/>
          <w:numId w:val="6"/>
        </w:numPr>
        <w:rPr>
          <w:sz w:val="20"/>
        </w:rPr>
      </w:pPr>
      <w:r>
        <w:rPr>
          <w:sz w:val="20"/>
        </w:rPr>
        <w:t>La protección de derechos de autor.</w:t>
      </w:r>
    </w:p>
    <w:p>
      <w:pPr>
        <w:pStyle w:val="Normal"/>
        <w:numPr>
          <w:ilvl w:val="0"/>
          <w:numId w:val="6"/>
        </w:numPr>
        <w:rPr>
          <w:sz w:val="20"/>
        </w:rPr>
      </w:pPr>
      <w:r>
        <w:rPr>
          <w:sz w:val="20"/>
        </w:rPr>
        <w:t>Las inversiones por trabajador.</w:t>
      </w:r>
    </w:p>
    <w:p>
      <w:pPr>
        <w:pStyle w:val="Normal"/>
        <w:numPr>
          <w:ilvl w:val="0"/>
          <w:numId w:val="6"/>
        </w:numPr>
        <w:rPr>
          <w:sz w:val="20"/>
        </w:rPr>
      </w:pPr>
      <w:r>
        <w:rPr>
          <w:sz w:val="20"/>
        </w:rPr>
        <w:t>Una baja proporción en el PBI del Gobierno y de la agricultura, tanto como una gran proporción de las manufacturas en el PBI.</w:t>
      </w:r>
    </w:p>
    <w:p>
      <w:pPr>
        <w:pStyle w:val="Normal"/>
        <w:rPr>
          <w:sz w:val="20"/>
        </w:rPr>
      </w:pPr>
      <w:r>
        <w:rPr>
          <w:sz w:val="20"/>
        </w:rPr>
        <w:tab/>
      </w:r>
    </w:p>
    <w:p>
      <w:pPr>
        <w:pStyle w:val="Normal"/>
        <w:rPr>
          <w:sz w:val="20"/>
        </w:rPr>
      </w:pPr>
      <w:r>
        <w:rPr>
          <w:sz w:val="20"/>
        </w:rPr>
        <w:t xml:space="preserve">Resulta de evidente importancia en Argentina dado que las actividades agropecuarias y el Gobierno tiene un rol preponderante en nuestro PBI. </w:t>
      </w:r>
    </w:p>
    <w:p>
      <w:pPr>
        <w:pStyle w:val="Normal"/>
        <w:rPr>
          <w:sz w:val="20"/>
        </w:rPr>
      </w:pPr>
      <w:r>
        <w:rPr>
          <w:sz w:val="20"/>
        </w:rPr>
        <w:t>Es claro que, según su enfoque, los países ricos están sobre la frontera tecnológica, buscando lograr, con fuertes inversiones en Investigación y Desarrollo estados superiores de eficiencia. En contraste, los países de medios o bajos ingresos adoptan tecnologías desarrolladas en otros países lo que no retroalimenta del mismo modo el desarrollo del conjunto de la economía a mediano y largo plazo, ni, en consecuencia, una mayor tasa de adopción.</w:t>
      </w:r>
    </w:p>
    <w:p>
      <w:pPr>
        <w:pStyle w:val="Normal"/>
        <w:rPr/>
      </w:pPr>
      <w:r>
        <w:rPr/>
      </w:r>
    </w:p>
    <w:p>
      <w:pPr>
        <w:pStyle w:val="Heading1"/>
        <w:rPr>
          <w:sz w:val="24"/>
          <w:szCs w:val="24"/>
        </w:rPr>
      </w:pPr>
      <w:r>
        <w:rPr>
          <w:sz w:val="24"/>
          <w:szCs w:val="24"/>
        </w:rPr>
        <w:t>Explique según Dutton y otros que es y qué rol juega el hecho de que la PC sea “innovación activa”</w:t>
      </w:r>
    </w:p>
    <w:p>
      <w:pPr>
        <w:pStyle w:val="Normal"/>
        <w:rPr/>
      </w:pPr>
      <w:r>
        <w:rPr>
          <w:sz w:val="20"/>
        </w:rPr>
        <w:t>Dutton dice que la PC, a diferencia de otros electrodomésticos como la TV, posee la cualidad de “innovación activa” al tratarse de un tipo de interacción distinto, donde el usuario se enfrenta a situaciones problema-solución. Esta interactividad evidencia que existen distintos tipos de usuarios y que estos fueron evolucionando a lo largo de la historia.</w:t>
      </w:r>
    </w:p>
    <w:p>
      <w:pPr>
        <w:pStyle w:val="Normal"/>
        <w:rPr/>
      </w:pPr>
      <w:r>
        <w:rPr/>
      </w:r>
    </w:p>
    <w:p>
      <w:pPr>
        <w:pStyle w:val="Heading1"/>
        <w:rPr>
          <w:sz w:val="24"/>
          <w:szCs w:val="24"/>
        </w:rPr>
      </w:pPr>
      <w:r>
        <w:rPr>
          <w:sz w:val="24"/>
          <w:szCs w:val="24"/>
        </w:rPr>
        <w:t>Qué utilidad tiene el modelo Bass, descríbalo y formule describiendo los parámetros</w:t>
      </w:r>
    </w:p>
    <w:p>
      <w:pPr>
        <w:pStyle w:val="Normal"/>
        <w:rPr/>
      </w:pPr>
      <w:r>
        <w:rPr>
          <w:sz w:val="20"/>
        </w:rPr>
        <w:t>Es un modelo matemático, conocido como el “Modelo de Difusión de Bass”, que ha sido un eje de las distintas técnicas de estimación de la demanda de nuevos productos durante las últimas cuatro décadas</w:t>
      </w:r>
    </w:p>
    <w:p>
      <w:pPr>
        <w:pStyle w:val="Normal"/>
        <w:rPr>
          <w:sz w:val="20"/>
        </w:rPr>
      </w:pPr>
      <w:r>
        <w:rPr>
          <w:sz w:val="20"/>
        </w:rPr>
      </w:r>
    </w:p>
    <w:p>
      <w:pPr>
        <w:pStyle w:val="Normal"/>
        <w:rPr>
          <w:sz w:val="20"/>
        </w:rPr>
      </w:pPr>
      <w:r>
        <w:rPr>
          <w:sz w:val="20"/>
        </w:rPr>
        <w:t>Su utilización se ha exacerbado en los últimos 10 años debido al notable acortamiento del ciclo de vida de los productos de tecnología, fruto de la creciente innovación.</w:t>
      </w:r>
    </w:p>
    <w:p>
      <w:pPr>
        <w:pStyle w:val="Normal"/>
        <w:rPr>
          <w:sz w:val="20"/>
        </w:rPr>
      </w:pPr>
      <w:r>
        <w:rPr>
          <w:sz w:val="20"/>
        </w:rPr>
        <w:t>De acuerdo a al modelo de Bass, que permite estimar el número de consumidores que adoptarán (comenzarán a comprar) un nuevo producto a lo largo del tiempo, existen dos grupos diferenciados:</w:t>
      </w:r>
    </w:p>
    <w:p>
      <w:pPr>
        <w:pStyle w:val="Normal"/>
        <w:numPr>
          <w:ilvl w:val="0"/>
          <w:numId w:val="8"/>
        </w:numPr>
        <w:rPr>
          <w:sz w:val="20"/>
        </w:rPr>
      </w:pPr>
      <w:r>
        <w:rPr>
          <w:sz w:val="20"/>
          <w:u w:val="single"/>
        </w:rPr>
        <w:t>Los Innovadores</w:t>
      </w:r>
      <w:r>
        <w:rPr>
          <w:sz w:val="20"/>
        </w:rPr>
        <w:t xml:space="preserve"> (y los early adopters según Rogers): son aquellos adquieren el nuevo producto independientemente de lo que haga el resto de la sociedad, y basados en sus mejores aptitudes para evaluar los beneficios o bien en sus actitudes “innovadoras”.</w:t>
      </w:r>
    </w:p>
    <w:p>
      <w:pPr>
        <w:pStyle w:val="Normal"/>
        <w:numPr>
          <w:ilvl w:val="0"/>
          <w:numId w:val="8"/>
        </w:numPr>
        <w:rPr/>
      </w:pPr>
      <w:r>
        <w:rPr>
          <w:sz w:val="20"/>
          <w:u w:val="single"/>
        </w:rPr>
        <w:t>El resto de los consumidores</w:t>
      </w:r>
      <w:r>
        <w:rPr>
          <w:sz w:val="20"/>
        </w:rPr>
        <w:t>, llamados Imitadores comienzan a adquirir el nuevo producto una vez que han observado que otros ya lo consumen y como resultado de la interacción e influencia de los innovadores sobre los imitadores.</w:t>
      </w:r>
    </w:p>
    <w:p>
      <w:pPr>
        <w:pStyle w:val="Normal"/>
        <w:rPr>
          <w:sz w:val="20"/>
        </w:rPr>
      </w:pPr>
      <w:r>
        <w:rPr>
          <w:sz w:val="20"/>
        </w:rPr>
      </w:r>
    </w:p>
    <w:p>
      <w:pPr>
        <w:pStyle w:val="Normal"/>
        <w:rPr/>
      </w:pPr>
      <w:r>
        <w:rPr>
          <w:sz w:val="20"/>
        </w:rPr>
        <w:t>El modelo asume que un individuo consume un producto una sola vez, motivo por el cual el mismo se utilizó inicialmente para productos de consumo durable como televisores, secarropas, lavavajillas y otros.</w:t>
      </w:r>
    </w:p>
    <w:p>
      <w:pPr>
        <w:pStyle w:val="Normal"/>
        <w:rPr>
          <w:sz w:val="20"/>
        </w:rPr>
      </w:pPr>
      <w:r>
        <w:rPr>
          <w:sz w:val="20"/>
        </w:rPr>
        <w:t>Años después el propio Bass reconoció dos errores:</w:t>
      </w:r>
    </w:p>
    <w:p>
      <w:pPr>
        <w:pStyle w:val="Normal"/>
        <w:numPr>
          <w:ilvl w:val="0"/>
          <w:numId w:val="7"/>
        </w:numPr>
        <w:rPr>
          <w:sz w:val="20"/>
        </w:rPr>
      </w:pPr>
      <w:r>
        <w:rPr>
          <w:sz w:val="20"/>
        </w:rPr>
        <w:t>Un error semántico, dado que su título en inglés debería haber sido “A New Product Growth Model for Consumer Durables”.</w:t>
      </w:r>
    </w:p>
    <w:p>
      <w:pPr>
        <w:pStyle w:val="Normal"/>
        <w:numPr>
          <w:ilvl w:val="0"/>
          <w:numId w:val="7"/>
        </w:numPr>
        <w:rPr>
          <w:sz w:val="20"/>
        </w:rPr>
      </w:pPr>
      <w:r>
        <w:rPr>
          <w:sz w:val="20"/>
        </w:rPr>
        <w:t>El segundo error fue haber limitado su aplicación a bienes de consumo durable dado que la historia demostró que su aplicación se extiende a toda clase de productos y servicios, y a nuevas tecnologías</w:t>
      </w:r>
    </w:p>
    <w:p>
      <w:pPr>
        <w:pStyle w:val="Normal"/>
        <w:rPr>
          <w:sz w:val="20"/>
        </w:rPr>
      </w:pPr>
      <w:r>
        <w:rPr>
          <w:sz w:val="20"/>
        </w:rPr>
      </w:r>
    </w:p>
    <w:p>
      <w:pPr>
        <w:pStyle w:val="Normal"/>
        <w:rPr>
          <w:sz w:val="20"/>
        </w:rPr>
      </w:pPr>
      <w:r>
        <w:rPr>
          <w:sz w:val="20"/>
        </w:rPr>
        <w:t xml:space="preserve">La formulación matemática de Bass dice que, el número de consumidores que compran un nuevo producto en un momento determinado del tiempo, es función de la demanda de los individuos innovadores, y de la demanda de los imitadores (que consumen un producto porque los demás lo hacen). </w:t>
      </w:r>
    </w:p>
    <w:p>
      <w:pPr>
        <w:pStyle w:val="Normal"/>
        <w:rPr>
          <w:sz w:val="20"/>
        </w:rPr>
      </w:pPr>
      <w:r>
        <w:rPr>
          <w:sz w:val="20"/>
        </w:rPr>
      </w:r>
    </w:p>
    <w:p>
      <w:pPr>
        <w:pStyle w:val="Normal"/>
        <w:rPr>
          <w:sz w:val="20"/>
        </w:rPr>
      </w:pPr>
      <w:r>
        <w:rPr>
          <w:sz w:val="20"/>
        </w:rPr>
        <w:t>Matemáticamente, el modelo de Bass se define de la siguiente manera:</w:t>
      </w:r>
    </w:p>
    <w:p>
      <w:pPr>
        <w:pStyle w:val="Normal"/>
        <w:rPr>
          <w:sz w:val="20"/>
        </w:rPr>
      </w:pPr>
      <w:r>
        <w:rPr>
          <w:sz w:val="20"/>
        </w:rPr>
      </w:r>
    </w:p>
    <w:p>
      <w:pPr>
        <w:pStyle w:val="Normal"/>
        <w:rPr/>
      </w:pPr>
      <w:r>
        <w:rPr>
          <w:sz w:val="20"/>
        </w:rPr>
        <w:t>S(t)= [p+(q/m) N(t-1)] [m-N(t-1)] donde:</w:t>
      </w:r>
    </w:p>
    <w:p>
      <w:pPr>
        <w:pStyle w:val="Normal"/>
        <w:rPr>
          <w:sz w:val="20"/>
        </w:rPr>
      </w:pPr>
      <w:r>
        <w:rPr>
          <w:sz w:val="20"/>
        </w:rPr>
      </w:r>
    </w:p>
    <w:p>
      <w:pPr>
        <w:pStyle w:val="Normal"/>
        <w:rPr>
          <w:sz w:val="20"/>
        </w:rPr>
      </w:pPr>
      <w:r>
        <w:rPr>
          <w:sz w:val="20"/>
        </w:rPr>
        <w:t>N(t) = número de consumidores que adoptaron el producto en el</w:t>
      </w:r>
    </w:p>
    <w:p>
      <w:pPr>
        <w:pStyle w:val="Normal"/>
        <w:rPr>
          <w:sz w:val="20"/>
        </w:rPr>
      </w:pPr>
      <w:r>
        <w:rPr>
          <w:sz w:val="20"/>
        </w:rPr>
        <w:t>momento t.</w:t>
      </w:r>
    </w:p>
    <w:p>
      <w:pPr>
        <w:pStyle w:val="Normal"/>
        <w:rPr>
          <w:sz w:val="20"/>
        </w:rPr>
      </w:pPr>
      <w:r>
        <w:rPr>
          <w:sz w:val="20"/>
        </w:rPr>
      </w:r>
    </w:p>
    <w:p>
      <w:pPr>
        <w:pStyle w:val="Normal"/>
        <w:rPr>
          <w:sz w:val="20"/>
        </w:rPr>
      </w:pPr>
      <w:r>
        <w:rPr>
          <w:sz w:val="20"/>
        </w:rPr>
        <w:t>S(t) = número de nuevos consumidores que adoptaron el producto</w:t>
      </w:r>
    </w:p>
    <w:p>
      <w:pPr>
        <w:pStyle w:val="Normal"/>
        <w:rPr>
          <w:sz w:val="20"/>
        </w:rPr>
      </w:pPr>
      <w:r>
        <w:rPr>
          <w:sz w:val="20"/>
        </w:rPr>
        <w:t xml:space="preserve">en el período t. </w:t>
      </w:r>
    </w:p>
    <w:p>
      <w:pPr>
        <w:pStyle w:val="Normal"/>
        <w:rPr>
          <w:sz w:val="20"/>
        </w:rPr>
      </w:pPr>
      <w:r>
        <w:rPr>
          <w:sz w:val="20"/>
        </w:rPr>
      </w:r>
    </w:p>
    <w:p>
      <w:pPr>
        <w:pStyle w:val="Normal"/>
        <w:rPr>
          <w:sz w:val="20"/>
        </w:rPr>
      </w:pPr>
      <w:r>
        <w:rPr>
          <w:sz w:val="20"/>
        </w:rPr>
        <w:t>Los parámetros básicos de modelo son:</w:t>
      </w:r>
    </w:p>
    <w:p>
      <w:pPr>
        <w:pStyle w:val="Normal"/>
        <w:numPr>
          <w:ilvl w:val="0"/>
          <w:numId w:val="4"/>
        </w:numPr>
        <w:rPr/>
      </w:pPr>
      <w:r>
        <w:rPr>
          <w:sz w:val="20"/>
          <w:u w:val="single"/>
        </w:rPr>
        <w:t>m: máximo número de consumidores</w:t>
      </w:r>
      <w:r>
        <w:rPr>
          <w:sz w:val="20"/>
        </w:rPr>
        <w:t xml:space="preserve"> que pueden adquirir el producto (lo que no significa toda la población del país o región bajo análisis, sino solo los potenciales compradores)</w:t>
      </w:r>
    </w:p>
    <w:p>
      <w:pPr>
        <w:pStyle w:val="Normal"/>
        <w:numPr>
          <w:ilvl w:val="0"/>
          <w:numId w:val="4"/>
        </w:numPr>
        <w:rPr/>
      </w:pPr>
      <w:r>
        <w:rPr>
          <w:sz w:val="20"/>
          <w:u w:val="single"/>
        </w:rPr>
        <w:t>p: coeficiente de innovación:</w:t>
      </w:r>
      <w:r>
        <w:rPr>
          <w:sz w:val="20"/>
        </w:rPr>
        <w:t xml:space="preserve"> Es la probabilidad que un innovador compre o adopte el producto en el período “t” (puede interpretarse como la tasa a la que un consumidor compra espontáneamente el producto).</w:t>
      </w:r>
    </w:p>
    <w:p>
      <w:pPr>
        <w:pStyle w:val="Normal"/>
        <w:numPr>
          <w:ilvl w:val="0"/>
          <w:numId w:val="4"/>
        </w:numPr>
        <w:rPr>
          <w:sz w:val="20"/>
        </w:rPr>
      </w:pPr>
      <w:r>
        <w:rPr>
          <w:sz w:val="20"/>
          <w:u w:val="single"/>
        </w:rPr>
        <w:t>q: coeficiente de imitación:</w:t>
      </w:r>
      <w:r>
        <w:rPr>
          <w:sz w:val="20"/>
        </w:rPr>
        <w:t xml:space="preserve"> Es la probabilidad que un imitador adopte el nuevo producto. Este coeficiente captura el efecto de boca en boca, es decir, la comunicación que hay entre los innovadores y los imitadores por la cual estos últimos aprenden y copian a los primeros. También es llamado efecto contagio. Este coeficiente refleja el efecto que pueden producir los consumidores ya existentes sobre los potenciales nuevos consumidores, por lo cual también recibe el nombre de coeficiente de influencia interna, a diferencia de p que recibe el nombre de coeficiente de influencia externa.</w:t>
      </w:r>
    </w:p>
    <w:sectPr>
      <w:headerReference w:type="default" r:id="rId9"/>
      <w:footerReference w:type="default" r:id="rId10"/>
      <w:type w:val="nextPage"/>
      <w:pgSz w:w="11906" w:h="16838"/>
      <w:pgMar w:left="1701" w:right="1701" w:header="567"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iso-8859-1"/>
    <w:family w:val="roman"/>
    <w:pitch w:val="variable"/>
  </w:font>
  <w:font w:name="Comic Sans MS">
    <w:charset w:val="00" w:characterSet="windows-1252"/>
    <w:family w:val="script"/>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Cambria">
    <w:charset w:val="00" w:characterSet="windows-1252"/>
    <w:family w:val="roman"/>
    <w:pitch w:val="variable"/>
  </w:font>
  <w:font w:name="Liberation Sans">
    <w:altName w:val="Arial"/>
    <w:charset w:val="00" w:characterSet="iso-8859-1"/>
    <w:family w:val="swiss"/>
    <w:pitch w:val="variable"/>
  </w:font>
  <w:font w:name="Verdana">
    <w:charset w:val="00" w:characterSet="windows-1252"/>
    <w:family w:val="swiss"/>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54" w:type="dxa"/>
      <w:jc w:val="center"/>
      <w:tblInd w:w="0" w:type="dxa"/>
      <w:tblCellMar>
        <w:top w:w="0" w:type="dxa"/>
        <w:start w:w="108" w:type="dxa"/>
        <w:bottom w:w="0" w:type="dxa"/>
        <w:end w:w="108" w:type="dxa"/>
      </w:tblCellMar>
    </w:tblPr>
    <w:tblGrid>
      <w:gridCol w:w="7229"/>
      <w:gridCol w:w="2425"/>
    </w:tblGrid>
    <w:tr>
      <w:trPr>
        <w:trHeight w:val="709" w:hRule="atLeast"/>
      </w:trPr>
      <w:tc>
        <w:tcPr>
          <w:tcW w:w="7229" w:type="dxa"/>
          <w:tcBorders>
            <w:top w:val="single" w:sz="4" w:space="0" w:color="000000"/>
            <w:start w:val="single" w:sz="4" w:space="0" w:color="000000"/>
            <w:bottom w:val="single" w:sz="4" w:space="0" w:color="000000"/>
          </w:tcBorders>
          <w:shd w:fill="auto" w:val="clear"/>
          <w:vAlign w:val="center"/>
        </w:tcPr>
        <w:p>
          <w:pPr>
            <w:pStyle w:val="Header"/>
            <w:tabs>
              <w:tab w:val="clear" w:pos="8640"/>
              <w:tab w:val="left" w:pos="851" w:leader="none"/>
              <w:tab w:val="center" w:pos="4320" w:leader="none"/>
              <w:tab w:val="right" w:pos="8280" w:leader="none"/>
            </w:tabs>
            <w:spacing w:lineRule="auto" w:line="240" w:before="180" w:after="40"/>
            <w:jc w:val="start"/>
            <w:rPr>
              <w:sz w:val="16"/>
              <w:lang w:val="es-ES_tradnl"/>
            </w:rPr>
          </w:pPr>
          <w:r>
            <w:drawing>
              <wp:anchor behindDoc="1" distT="0" distB="0" distL="114935" distR="114935" simplePos="0" locked="0" layoutInCell="1" allowOverlap="1" relativeHeight="0">
                <wp:simplePos x="0" y="0"/>
                <wp:positionH relativeFrom="page">
                  <wp:posOffset>36195</wp:posOffset>
                </wp:positionH>
                <wp:positionV relativeFrom="page">
                  <wp:posOffset>-900430</wp:posOffset>
                </wp:positionV>
                <wp:extent cx="409575" cy="419100"/>
                <wp:effectExtent l="0" t="0" r="0" b="0"/>
                <wp:wrapNone/>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1"/>
                        <a:stretch>
                          <a:fillRect/>
                        </a:stretch>
                      </pic:blipFill>
                      <pic:spPr bwMode="auto">
                        <a:xfrm>
                          <a:off x="0" y="0"/>
                          <a:ext cx="409575" cy="419100"/>
                        </a:xfrm>
                        <a:prstGeom prst="rect">
                          <a:avLst/>
                        </a:prstGeom>
                      </pic:spPr>
                    </pic:pic>
                  </a:graphicData>
                </a:graphic>
              </wp:anchor>
            </w:drawing>
          </w:r>
          <w:r>
            <w:rPr>
              <w:sz w:val="16"/>
              <w:lang w:val="es-ES_tradnl"/>
            </w:rPr>
            <w:tab/>
          </w:r>
          <w:r>
            <w:rPr>
              <w:sz w:val="16"/>
              <w:lang w:val="es-ES_tradnl"/>
            </w:rPr>
            <w:t>UTN – Facultad Regional Buenos Aires</w:t>
            <w:br/>
            <w:tab/>
            <w:t>Ingeniería en Sistemas de Información</w:t>
          </w:r>
        </w:p>
      </w:tc>
      <w:tc>
        <w:tcPr>
          <w:tcW w:w="2425" w:type="dxa"/>
          <w:tcBorders>
            <w:top w:val="single" w:sz="6" w:space="0" w:color="000000"/>
            <w:start w:val="single" w:sz="4" w:space="0" w:color="000000"/>
            <w:bottom w:val="single" w:sz="6" w:space="0" w:color="000000"/>
            <w:end w:val="single" w:sz="6" w:space="0" w:color="000000"/>
          </w:tcBorders>
          <w:shd w:fill="auto" w:val="clear"/>
          <w:vAlign w:val="center"/>
        </w:tcPr>
        <w:p>
          <w:pPr>
            <w:pStyle w:val="Header"/>
            <w:tabs>
              <w:tab w:val="clear" w:pos="8640"/>
              <w:tab w:val="center" w:pos="4320" w:leader="none"/>
              <w:tab w:val="right" w:pos="8280" w:leader="none"/>
            </w:tabs>
            <w:spacing w:lineRule="auto" w:line="240" w:before="40" w:after="40"/>
            <w:jc w:val="center"/>
            <w:rPr>
              <w:sz w:val="16"/>
              <w:lang w:val="es-ES_tradnl"/>
            </w:rPr>
          </w:pPr>
          <w:r>
            <w:rPr>
              <w:sz w:val="16"/>
              <w:lang w:val="es-ES_tradnl"/>
            </w:rPr>
            <w:t xml:space="preserve">Página </w:t>
          </w:r>
          <w:r>
            <w:rPr>
              <w:sz w:val="16"/>
              <w:lang w:val="es-ES_tradnl"/>
            </w:rPr>
            <w:fldChar w:fldCharType="begin"/>
          </w:r>
          <w:r>
            <w:rPr>
              <w:sz w:val="16"/>
            </w:rPr>
            <w:instrText> PAGE </w:instrText>
          </w:r>
          <w:r>
            <w:rPr>
              <w:sz w:val="16"/>
            </w:rPr>
            <w:fldChar w:fldCharType="separate"/>
          </w:r>
          <w:r>
            <w:rPr>
              <w:sz w:val="16"/>
            </w:rPr>
            <w:t>0</w:t>
          </w:r>
          <w:r>
            <w:rPr>
              <w:sz w:val="16"/>
            </w:rPr>
            <w:fldChar w:fldCharType="end"/>
          </w:r>
          <w:r>
            <w:rPr>
              <w:sz w:val="16"/>
              <w:lang w:val="es-ES_tradnl"/>
            </w:rPr>
            <w:t xml:space="preserve"> de </w:t>
          </w:r>
          <w:r>
            <w:rPr>
              <w:sz w:val="16"/>
              <w:lang w:val="es-ES_tradnl"/>
            </w:rPr>
            <w:fldChar w:fldCharType="begin"/>
          </w:r>
          <w:r>
            <w:rPr>
              <w:sz w:val="16"/>
            </w:rPr>
            <w:instrText> NUMPAGES \* ARABIC </w:instrText>
          </w:r>
          <w:r>
            <w:rPr>
              <w:sz w:val="16"/>
            </w:rPr>
            <w:fldChar w:fldCharType="separate"/>
          </w:r>
          <w:r>
            <w:rPr>
              <w:sz w:val="16"/>
            </w:rPr>
            <w:t>7</w:t>
          </w:r>
          <w:r>
            <w:rPr>
              <w:sz w:val="16"/>
            </w:rPr>
            <w:fldChar w:fldCharType="end"/>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54" w:type="dxa"/>
      <w:jc w:val="center"/>
      <w:tblInd w:w="0" w:type="dxa"/>
      <w:tblCellMar>
        <w:top w:w="0" w:type="dxa"/>
        <w:start w:w="108" w:type="dxa"/>
        <w:bottom w:w="0" w:type="dxa"/>
        <w:end w:w="108" w:type="dxa"/>
      </w:tblCellMar>
    </w:tblPr>
    <w:tblGrid>
      <w:gridCol w:w="7229"/>
      <w:gridCol w:w="2425"/>
    </w:tblGrid>
    <w:tr>
      <w:trPr>
        <w:trHeight w:val="709" w:hRule="atLeast"/>
      </w:trPr>
      <w:tc>
        <w:tcPr>
          <w:tcW w:w="7229" w:type="dxa"/>
          <w:tcBorders>
            <w:top w:val="single" w:sz="4" w:space="0" w:color="000000"/>
            <w:start w:val="single" w:sz="4" w:space="0" w:color="000000"/>
            <w:bottom w:val="single" w:sz="4" w:space="0" w:color="000000"/>
          </w:tcBorders>
          <w:shd w:fill="auto" w:val="clear"/>
          <w:vAlign w:val="center"/>
        </w:tcPr>
        <w:p>
          <w:pPr>
            <w:pStyle w:val="Header"/>
            <w:tabs>
              <w:tab w:val="clear" w:pos="8640"/>
              <w:tab w:val="left" w:pos="851" w:leader="none"/>
              <w:tab w:val="center" w:pos="4320" w:leader="none"/>
              <w:tab w:val="right" w:pos="8280" w:leader="none"/>
            </w:tabs>
            <w:spacing w:lineRule="auto" w:line="240" w:before="180" w:after="40"/>
            <w:jc w:val="start"/>
            <w:rPr>
              <w:sz w:val="16"/>
              <w:lang w:val="es-ES_tradnl"/>
            </w:rPr>
          </w:pPr>
          <w:r>
            <w:drawing>
              <wp:anchor behindDoc="1" distT="0" distB="0" distL="114935" distR="114935" simplePos="0" locked="0" layoutInCell="1" allowOverlap="1" relativeHeight="9">
                <wp:simplePos x="0" y="0"/>
                <wp:positionH relativeFrom="page">
                  <wp:posOffset>36195</wp:posOffset>
                </wp:positionH>
                <wp:positionV relativeFrom="page">
                  <wp:posOffset>-900430</wp:posOffset>
                </wp:positionV>
                <wp:extent cx="409575" cy="419100"/>
                <wp:effectExtent l="0" t="0" r="0" b="0"/>
                <wp:wrapNone/>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1"/>
                        <a:srcRect l="-44" t="-43" r="-44" b="-43"/>
                        <a:stretch>
                          <a:fillRect/>
                        </a:stretch>
                      </pic:blipFill>
                      <pic:spPr bwMode="auto">
                        <a:xfrm>
                          <a:off x="0" y="0"/>
                          <a:ext cx="409575" cy="419100"/>
                        </a:xfrm>
                        <a:prstGeom prst="rect">
                          <a:avLst/>
                        </a:prstGeom>
                      </pic:spPr>
                    </pic:pic>
                  </a:graphicData>
                </a:graphic>
              </wp:anchor>
            </w:drawing>
          </w:r>
          <w:r>
            <w:rPr>
              <w:sz w:val="16"/>
              <w:lang w:val="es-ES_tradnl"/>
            </w:rPr>
            <w:tab/>
          </w:r>
          <w:r>
            <w:rPr>
              <w:sz w:val="16"/>
              <w:lang w:val="es-ES_tradnl"/>
            </w:rPr>
            <w:t>UTN – Facultad Regional Buenos Aires</w:t>
            <w:br/>
            <w:tab/>
            <w:t>Ingeniería en Sistemas de Información</w:t>
          </w:r>
        </w:p>
      </w:tc>
      <w:tc>
        <w:tcPr>
          <w:tcW w:w="2425" w:type="dxa"/>
          <w:tcBorders>
            <w:top w:val="single" w:sz="6" w:space="0" w:color="000000"/>
            <w:start w:val="single" w:sz="4" w:space="0" w:color="000000"/>
            <w:bottom w:val="single" w:sz="6" w:space="0" w:color="000000"/>
            <w:end w:val="single" w:sz="6" w:space="0" w:color="000000"/>
          </w:tcBorders>
          <w:shd w:fill="auto" w:val="clear"/>
          <w:vAlign w:val="center"/>
        </w:tcPr>
        <w:p>
          <w:pPr>
            <w:pStyle w:val="Header"/>
            <w:tabs>
              <w:tab w:val="clear" w:pos="8640"/>
              <w:tab w:val="center" w:pos="4320" w:leader="none"/>
              <w:tab w:val="right" w:pos="8280" w:leader="none"/>
            </w:tabs>
            <w:spacing w:lineRule="auto" w:line="240" w:before="40" w:after="40"/>
            <w:jc w:val="center"/>
            <w:rPr/>
          </w:pPr>
          <w:r>
            <w:rPr>
              <w:sz w:val="16"/>
              <w:lang w:val="es-ES_tradnl"/>
            </w:rPr>
            <w:t xml:space="preserve">Página </w:t>
          </w:r>
          <w:r>
            <w:rPr>
              <w:sz w:val="16"/>
              <w:lang w:val="es-ES_tradnl"/>
            </w:rPr>
            <w:fldChar w:fldCharType="begin"/>
          </w:r>
          <w:r>
            <w:rPr>
              <w:sz w:val="16"/>
            </w:rPr>
            <w:instrText> PAGE </w:instrText>
          </w:r>
          <w:r>
            <w:rPr>
              <w:sz w:val="16"/>
            </w:rPr>
            <w:fldChar w:fldCharType="separate"/>
          </w:r>
          <w:r>
            <w:rPr>
              <w:sz w:val="16"/>
            </w:rPr>
            <w:t>7</w:t>
          </w:r>
          <w:r>
            <w:rPr>
              <w:sz w:val="16"/>
            </w:rPr>
            <w:fldChar w:fldCharType="end"/>
          </w:r>
          <w:r>
            <w:rPr>
              <w:sz w:val="16"/>
              <w:lang w:val="es-ES_tradnl"/>
            </w:rPr>
            <w:t xml:space="preserve"> de </w:t>
          </w:r>
          <w:r>
            <w:rPr>
              <w:sz w:val="16"/>
              <w:lang w:val="es-ES_tradnl"/>
            </w:rPr>
            <w:fldChar w:fldCharType="begin"/>
          </w:r>
          <w:r>
            <w:rPr>
              <w:sz w:val="16"/>
            </w:rPr>
            <w:instrText> NUMPAGES \* ARABIC </w:instrText>
          </w:r>
          <w:r>
            <w:rPr>
              <w:sz w:val="16"/>
            </w:rPr>
            <w:fldChar w:fldCharType="separate"/>
          </w:r>
          <w:r>
            <w:rPr>
              <w:sz w:val="16"/>
            </w:rPr>
            <w:t>7</w:t>
          </w:r>
          <w:r>
            <w:rPr>
              <w:sz w:val="16"/>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54" w:type="dxa"/>
      <w:jc w:val="center"/>
      <w:tblInd w:w="0" w:type="dxa"/>
      <w:tblCellMar>
        <w:top w:w="0" w:type="dxa"/>
        <w:start w:w="108" w:type="dxa"/>
        <w:bottom w:w="0" w:type="dxa"/>
        <w:end w:w="108" w:type="dxa"/>
      </w:tblCellMar>
    </w:tblPr>
    <w:tblGrid>
      <w:gridCol w:w="7229"/>
      <w:gridCol w:w="2425"/>
    </w:tblGrid>
    <w:tr>
      <w:trPr/>
      <w:tc>
        <w:tcPr>
          <w:tcW w:w="7229" w:type="dxa"/>
          <w:tcBorders>
            <w:top w:val="single" w:sz="4" w:space="0" w:color="000000"/>
            <w:start w:val="single" w:sz="4" w:space="0" w:color="000000"/>
            <w:bottom w:val="single" w:sz="4" w:space="0" w:color="000000"/>
          </w:tcBorders>
          <w:shd w:fill="CCCCCC" w:val="clear"/>
          <w:vAlign w:val="center"/>
        </w:tcPr>
        <w:p>
          <w:pPr>
            <w:pStyle w:val="Header"/>
            <w:tabs>
              <w:tab w:val="clear" w:pos="8640"/>
              <w:tab w:val="center" w:pos="4320" w:leader="none"/>
              <w:tab w:val="right" w:pos="8280" w:leader="none"/>
            </w:tabs>
            <w:spacing w:lineRule="auto" w:line="240" w:before="40" w:after="40"/>
            <w:jc w:val="center"/>
            <w:rPr>
              <w:b/>
              <w:b/>
              <w:i/>
              <w:i/>
              <w:sz w:val="16"/>
              <w:lang w:val="es-ES_tradnl"/>
            </w:rPr>
          </w:pPr>
          <w:r>
            <w:rPr>
              <w:b/>
              <w:i/>
              <w:sz w:val="16"/>
              <w:lang w:val="es-ES_tradnl"/>
            </w:rPr>
            <w:t>Marketing en Internet y Nueva Economía</w:t>
          </w:r>
        </w:p>
      </w:tc>
      <w:tc>
        <w:tcPr>
          <w:tcW w:w="2425" w:type="dxa"/>
          <w:tcBorders>
            <w:top w:val="single" w:sz="6" w:space="0" w:color="000000"/>
            <w:start w:val="single" w:sz="4" w:space="0" w:color="000000"/>
            <w:bottom w:val="single" w:sz="6" w:space="0" w:color="000000"/>
            <w:end w:val="single" w:sz="6" w:space="0" w:color="000000"/>
          </w:tcBorders>
          <w:shd w:fill="auto" w:val="clear"/>
          <w:vAlign w:val="center"/>
        </w:tcPr>
        <w:p>
          <w:pPr>
            <w:pStyle w:val="Header"/>
            <w:tabs>
              <w:tab w:val="clear" w:pos="8640"/>
              <w:tab w:val="center" w:pos="4320" w:leader="none"/>
              <w:tab w:val="right" w:pos="8280" w:leader="none"/>
            </w:tabs>
            <w:spacing w:lineRule="auto" w:line="240" w:before="40" w:after="40"/>
            <w:rPr>
              <w:sz w:val="16"/>
              <w:lang w:val="es-ES_tradnl"/>
            </w:rPr>
          </w:pPr>
          <w:r>
            <w:rPr>
              <w:sz w:val="16"/>
              <w:lang w:val="es-ES_tradnl"/>
            </w:rPr>
            <w:t>Curso: K5071 – 2016</w:t>
          </w:r>
        </w:p>
      </w:tc>
    </w:tr>
    <w:tr>
      <w:trPr>
        <w:trHeight w:val="119" w:hRule="atLeast"/>
      </w:trPr>
      <w:tc>
        <w:tcPr>
          <w:tcW w:w="7229" w:type="dxa"/>
          <w:tcBorders>
            <w:top w:val="single" w:sz="4" w:space="0" w:color="000000"/>
            <w:start w:val="single" w:sz="4" w:space="0" w:color="000000"/>
            <w:bottom w:val="single" w:sz="4" w:space="0" w:color="000000"/>
          </w:tcBorders>
          <w:shd w:fill="auto" w:val="clear"/>
          <w:vAlign w:val="center"/>
        </w:tcPr>
        <w:p>
          <w:pPr>
            <w:pStyle w:val="Header"/>
            <w:tabs>
              <w:tab w:val="clear" w:pos="8640"/>
              <w:tab w:val="center" w:pos="4320" w:leader="none"/>
              <w:tab w:val="right" w:pos="8280" w:leader="none"/>
            </w:tabs>
            <w:spacing w:lineRule="auto" w:line="240" w:before="40" w:after="40"/>
            <w:jc w:val="center"/>
            <w:rPr>
              <w:sz w:val="16"/>
              <w:lang w:val="es-ES_tradnl"/>
            </w:rPr>
          </w:pPr>
          <w:r>
            <w:rPr>
              <w:sz w:val="16"/>
              <w:lang w:val="es-ES_tradnl"/>
            </w:rPr>
            <w:t>Trabajo Práctico 4: Difusión y Adopción</w:t>
          </w:r>
        </w:p>
      </w:tc>
      <w:tc>
        <w:tcPr>
          <w:tcW w:w="2425" w:type="dxa"/>
          <w:tcBorders>
            <w:top w:val="single" w:sz="6" w:space="0" w:color="000000"/>
            <w:start w:val="single" w:sz="4" w:space="0" w:color="000000"/>
            <w:bottom w:val="single" w:sz="6" w:space="0" w:color="000000"/>
            <w:end w:val="single" w:sz="6" w:space="0" w:color="000000"/>
          </w:tcBorders>
          <w:shd w:fill="auto" w:val="clear"/>
          <w:vAlign w:val="center"/>
        </w:tcPr>
        <w:p>
          <w:pPr>
            <w:pStyle w:val="Header"/>
            <w:tabs>
              <w:tab w:val="clear" w:pos="8640"/>
              <w:tab w:val="center" w:pos="4320" w:leader="none"/>
              <w:tab w:val="right" w:pos="8280" w:leader="none"/>
            </w:tabs>
            <w:spacing w:lineRule="auto" w:line="240" w:before="40" w:after="40"/>
            <w:rPr>
              <w:sz w:val="16"/>
              <w:lang w:val="es-ES_tradnl"/>
            </w:rPr>
          </w:pPr>
          <w:r>
            <w:rPr>
              <w:sz w:val="16"/>
              <w:lang w:val="es-ES_tradnl"/>
            </w:rPr>
            <w:t>Individual</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54" w:type="dxa"/>
      <w:jc w:val="center"/>
      <w:tblInd w:w="0" w:type="dxa"/>
      <w:tblCellMar>
        <w:top w:w="0" w:type="dxa"/>
        <w:start w:w="108" w:type="dxa"/>
        <w:bottom w:w="0" w:type="dxa"/>
        <w:end w:w="108" w:type="dxa"/>
      </w:tblCellMar>
    </w:tblPr>
    <w:tblGrid>
      <w:gridCol w:w="7229"/>
      <w:gridCol w:w="2425"/>
    </w:tblGrid>
    <w:tr>
      <w:trPr/>
      <w:tc>
        <w:tcPr>
          <w:tcW w:w="7229" w:type="dxa"/>
          <w:tcBorders>
            <w:top w:val="single" w:sz="4" w:space="0" w:color="000000"/>
            <w:start w:val="single" w:sz="4" w:space="0" w:color="000000"/>
            <w:bottom w:val="single" w:sz="4" w:space="0" w:color="000000"/>
          </w:tcBorders>
          <w:shd w:fill="CCCCCC" w:val="clear"/>
          <w:vAlign w:val="center"/>
        </w:tcPr>
        <w:p>
          <w:pPr>
            <w:pStyle w:val="Header"/>
            <w:tabs>
              <w:tab w:val="clear" w:pos="8640"/>
              <w:tab w:val="center" w:pos="4320" w:leader="none"/>
              <w:tab w:val="right" w:pos="8280" w:leader="none"/>
            </w:tabs>
            <w:spacing w:lineRule="auto" w:line="240" w:before="40" w:after="40"/>
            <w:jc w:val="center"/>
            <w:rPr>
              <w:b/>
              <w:b/>
              <w:i/>
              <w:i/>
              <w:sz w:val="16"/>
              <w:lang w:val="es-ES_tradnl"/>
            </w:rPr>
          </w:pPr>
          <w:r>
            <w:rPr>
              <w:b/>
              <w:i/>
              <w:sz w:val="16"/>
              <w:lang w:val="es-ES_tradnl"/>
            </w:rPr>
            <w:t>Marketing en Internet y Nueva Economía</w:t>
          </w:r>
        </w:p>
      </w:tc>
      <w:tc>
        <w:tcPr>
          <w:tcW w:w="2425" w:type="dxa"/>
          <w:tcBorders>
            <w:top w:val="single" w:sz="6" w:space="0" w:color="000000"/>
            <w:start w:val="single" w:sz="4" w:space="0" w:color="000000"/>
            <w:bottom w:val="single" w:sz="6" w:space="0" w:color="000000"/>
            <w:end w:val="single" w:sz="6" w:space="0" w:color="000000"/>
          </w:tcBorders>
          <w:shd w:fill="auto" w:val="clear"/>
          <w:vAlign w:val="center"/>
        </w:tcPr>
        <w:p>
          <w:pPr>
            <w:pStyle w:val="Header"/>
            <w:tabs>
              <w:tab w:val="clear" w:pos="8640"/>
              <w:tab w:val="center" w:pos="4320" w:leader="none"/>
              <w:tab w:val="right" w:pos="8280" w:leader="none"/>
            </w:tabs>
            <w:spacing w:lineRule="auto" w:line="240" w:before="40" w:after="40"/>
            <w:rPr/>
          </w:pPr>
          <w:r>
            <w:rPr>
              <w:sz w:val="16"/>
              <w:lang w:val="es-ES_tradnl"/>
            </w:rPr>
            <w:t>Curso: K5071 – 2016</w:t>
          </w:r>
        </w:p>
      </w:tc>
    </w:tr>
    <w:tr>
      <w:trPr>
        <w:trHeight w:val="119" w:hRule="atLeast"/>
      </w:trPr>
      <w:tc>
        <w:tcPr>
          <w:tcW w:w="7229" w:type="dxa"/>
          <w:tcBorders>
            <w:top w:val="single" w:sz="4" w:space="0" w:color="000000"/>
            <w:start w:val="single" w:sz="4" w:space="0" w:color="000000"/>
            <w:bottom w:val="single" w:sz="4" w:space="0" w:color="000000"/>
          </w:tcBorders>
          <w:shd w:fill="auto" w:val="clear"/>
          <w:vAlign w:val="center"/>
        </w:tcPr>
        <w:p>
          <w:pPr>
            <w:pStyle w:val="Header"/>
            <w:tabs>
              <w:tab w:val="clear" w:pos="8640"/>
              <w:tab w:val="center" w:pos="4320" w:leader="none"/>
              <w:tab w:val="right" w:pos="8280" w:leader="none"/>
            </w:tabs>
            <w:spacing w:lineRule="auto" w:line="240" w:before="40" w:after="40"/>
            <w:jc w:val="center"/>
            <w:rPr/>
          </w:pPr>
          <w:r>
            <w:rPr>
              <w:sz w:val="16"/>
              <w:lang w:val="es-ES_tradnl"/>
            </w:rPr>
            <w:t>Trabajo Práctico 4: Difusión y Adopción</w:t>
          </w:r>
        </w:p>
      </w:tc>
      <w:tc>
        <w:tcPr>
          <w:tcW w:w="2425" w:type="dxa"/>
          <w:tcBorders>
            <w:top w:val="single" w:sz="6" w:space="0" w:color="000000"/>
            <w:start w:val="single" w:sz="4" w:space="0" w:color="000000"/>
            <w:bottom w:val="single" w:sz="6" w:space="0" w:color="000000"/>
            <w:end w:val="single" w:sz="6" w:space="0" w:color="000000"/>
          </w:tcBorders>
          <w:shd w:fill="auto" w:val="clear"/>
          <w:vAlign w:val="center"/>
        </w:tcPr>
        <w:p>
          <w:pPr>
            <w:pStyle w:val="Header"/>
            <w:tabs>
              <w:tab w:val="clear" w:pos="8640"/>
              <w:tab w:val="center" w:pos="4320" w:leader="none"/>
              <w:tab w:val="right" w:pos="8280" w:leader="none"/>
            </w:tabs>
            <w:spacing w:lineRule="auto" w:line="240" w:before="40" w:after="40"/>
            <w:rPr>
              <w:sz w:val="16"/>
              <w:lang w:val="es-ES_tradnl"/>
            </w:rPr>
          </w:pPr>
          <w:r>
            <w:rPr>
              <w:sz w:val="16"/>
              <w:lang w:val="es-ES_tradnl"/>
            </w:rPr>
            <w:t>Individual</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start"/>
      <w:pPr>
        <w:tabs>
          <w:tab w:val="num" w:pos="432"/>
        </w:tabs>
        <w:ind w:start="432" w:hanging="432"/>
      </w:pPr>
      <w:rPr>
        <w:sz w:val="24"/>
        <w:szCs w:val="24"/>
      </w:rPr>
    </w:lvl>
    <w:lvl w:ilvl="1">
      <w:start w:val="1"/>
      <w:pStyle w:val="Heading2"/>
      <w:numFmt w:val="decimal"/>
      <w:lvlText w:val="%1.%2"/>
      <w:lvlJc w:val="start"/>
      <w:pPr>
        <w:tabs>
          <w:tab w:val="num" w:pos="576"/>
        </w:tabs>
        <w:ind w:start="576" w:hanging="576"/>
      </w:pPr>
      <w:rPr/>
    </w:lvl>
    <w:lvl w:ilvl="2">
      <w:start w:val="1"/>
      <w:pStyle w:val="Heading3"/>
      <w:numFmt w:val="decimal"/>
      <w:lvlText w:val="%1.%2.%3"/>
      <w:lvlJc w:val="start"/>
      <w:pPr>
        <w:tabs>
          <w:tab w:val="num" w:pos="720"/>
        </w:tabs>
        <w:ind w:start="720" w:hanging="720"/>
      </w:pPr>
      <w:rPr/>
    </w:lvl>
    <w:lvl w:ilvl="3">
      <w:start w:val="1"/>
      <w:pStyle w:val="Heading4"/>
      <w:numFmt w:val="decimal"/>
      <w:lvlText w:val="%1.%2.%3.%4"/>
      <w:lvlJc w:val="start"/>
      <w:pPr>
        <w:tabs>
          <w:tab w:val="num" w:pos="864"/>
        </w:tabs>
        <w:ind w:start="864" w:hanging="864"/>
      </w:pPr>
      <w:rPr/>
    </w:lvl>
    <w:lvl w:ilvl="4">
      <w:start w:val="1"/>
      <w:pStyle w:val="Heading5"/>
      <w:numFmt w:val="decimal"/>
      <w:lvlText w:val="%1.%2.%3.%4.%5"/>
      <w:lvlJc w:val="start"/>
      <w:pPr>
        <w:tabs>
          <w:tab w:val="num" w:pos="1008"/>
        </w:tabs>
        <w:ind w:start="1008" w:hanging="1008"/>
      </w:pPr>
      <w:rPr/>
    </w:lvl>
    <w:lvl w:ilvl="5">
      <w:start w:val="1"/>
      <w:pStyle w:val="Heading6"/>
      <w:numFmt w:val="decimal"/>
      <w:lvlText w:val="%1.%2.%3.%4.%5.%6"/>
      <w:lvlJc w:val="start"/>
      <w:pPr>
        <w:tabs>
          <w:tab w:val="num" w:pos="1152"/>
        </w:tabs>
        <w:ind w:start="1152" w:hanging="1152"/>
      </w:pPr>
      <w:rPr/>
    </w:lvl>
    <w:lvl w:ilvl="6">
      <w:start w:val="1"/>
      <w:pStyle w:val="Heading7"/>
      <w:numFmt w:val="decimal"/>
      <w:lvlText w:val="%1.%2.%3.%4.%5.%6.%7"/>
      <w:lvlJc w:val="start"/>
      <w:pPr>
        <w:tabs>
          <w:tab w:val="num" w:pos="1296"/>
        </w:tabs>
        <w:ind w:start="1296" w:hanging="1296"/>
      </w:pPr>
      <w:rPr/>
    </w:lvl>
    <w:lvl w:ilvl="7">
      <w:start w:val="1"/>
      <w:pStyle w:val="Heading8"/>
      <w:numFmt w:val="decimal"/>
      <w:lvlText w:val="%1.%2.%3.%4.%5.%6.%7.%8"/>
      <w:lvlJc w:val="start"/>
      <w:pPr>
        <w:tabs>
          <w:tab w:val="num" w:pos="1440"/>
        </w:tabs>
        <w:ind w:start="1440" w:hanging="1440"/>
      </w:pPr>
      <w:rPr/>
    </w:lvl>
    <w:lvl w:ilvl="8">
      <w:start w:val="1"/>
      <w:pStyle w:val="Heading9"/>
      <w:numFmt w:val="decimal"/>
      <w:lvlText w:val="%1.%2.%3.%4.%5.%6.%7.%8.%9"/>
      <w:lvlJc w:val="start"/>
      <w:pPr>
        <w:tabs>
          <w:tab w:val="num" w:pos="1584"/>
        </w:tabs>
        <w:ind w:start="1584" w:hanging="1584"/>
      </w:pPr>
      <w:rPr/>
    </w:lvl>
  </w:abstractNum>
  <w:abstractNum w:abstractNumId="2">
    <w:lvl w:ilvl="0">
      <w:numFmt w:val="decimal"/>
      <w:suff w:val="nothing"/>
      <w:lvlText w:val="%1"/>
      <w:lvlJc w:val="start"/>
      <w:pPr>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ind w:start="720" w:hanging="360"/>
      </w:pPr>
      <w:rPr>
        <w:rFonts w:ascii="Symbol" w:hAnsi="Symbol" w:cs="Symbol" w:hint="default"/>
        <w:sz w:val="20"/>
        <w:rFonts w:cs="Symbol"/>
        <w:lang w:eastAsia="en-US"/>
      </w:rPr>
    </w:lvl>
  </w:abstractNum>
  <w:abstractNum w:abstractNumId="4">
    <w:lvl w:ilvl="0">
      <w:start w:val="1"/>
      <w:numFmt w:val="bullet"/>
      <w:lvlText w:val=""/>
      <w:lvlJc w:val="start"/>
      <w:pPr>
        <w:ind w:start="720" w:hanging="360"/>
      </w:pPr>
      <w:rPr>
        <w:rFonts w:ascii="Symbol" w:hAnsi="Symbol" w:cs="Symbol" w:hint="default"/>
        <w:sz w:val="20"/>
        <w:rFonts w:cs="Symbol"/>
      </w:rPr>
    </w:lvl>
  </w:abstractNum>
  <w:abstractNum w:abstractNumId="5">
    <w:lvl w:ilvl="0">
      <w:start w:val="1"/>
      <w:numFmt w:val="bullet"/>
      <w:lvlText w:val=""/>
      <w:lvlJc w:val="start"/>
      <w:pPr>
        <w:ind w:start="720" w:hanging="360"/>
      </w:pPr>
      <w:rPr>
        <w:rFonts w:ascii="Symbol" w:hAnsi="Symbol" w:cs="Symbol" w:hint="default"/>
        <w:sz w:val="20"/>
        <w:rFonts w:cs="Symbol"/>
      </w:rPr>
    </w:lvl>
  </w:abstractNum>
  <w:abstractNum w:abstractNumId="6">
    <w:lvl w:ilvl="0">
      <w:start w:val="1"/>
      <w:numFmt w:val="bullet"/>
      <w:lvlText w:val=""/>
      <w:lvlJc w:val="start"/>
      <w:pPr>
        <w:ind w:start="720" w:hanging="360"/>
      </w:pPr>
      <w:rPr>
        <w:rFonts w:ascii="Symbol" w:hAnsi="Symbol" w:cs="Symbol" w:hint="default"/>
        <w:rFonts w:cs="Symbol"/>
      </w:rPr>
    </w:lvl>
  </w:abstractNum>
  <w:abstractNum w:abstractNumId="7">
    <w:lvl w:ilvl="0">
      <w:start w:val="1"/>
      <w:numFmt w:val="bullet"/>
      <w:lvlText w:val=""/>
      <w:lvlJc w:val="start"/>
      <w:pPr>
        <w:ind w:start="720" w:hanging="360"/>
      </w:pPr>
      <w:rPr>
        <w:rFonts w:ascii="Symbol" w:hAnsi="Symbol" w:cs="Symbol" w:hint="default"/>
        <w:rFonts w:cs="Symbol"/>
      </w:rPr>
    </w:lvl>
  </w:abstractNum>
  <w:abstractNum w:abstractNumId="8">
    <w:lvl w:ilvl="0">
      <w:start w:val="1"/>
      <w:numFmt w:val="bullet"/>
      <w:lvlText w:val=""/>
      <w:lvlJc w:val="start"/>
      <w:pPr>
        <w:ind w:start="720" w:hanging="360"/>
      </w:pPr>
      <w:rPr>
        <w:rFonts w:ascii="Symbol" w:hAnsi="Symbol" w:cs="Symbol" w:hint="default"/>
        <w:sz w:val="20"/>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isplayBackgroundShape/>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suppressAutoHyphens w:val="true"/>
      <w:bidi w:val="0"/>
      <w:spacing w:lineRule="auto" w:line="360"/>
      <w:jc w:val="both"/>
    </w:pPr>
    <w:rPr>
      <w:rFonts w:ascii="Arial" w:hAnsi="Arial" w:eastAsia="Times New Roman" w:cs="Arial"/>
      <w:color w:val="auto"/>
      <w:sz w:val="22"/>
      <w:szCs w:val="20"/>
      <w:lang w:val="es-AR" w:eastAsia="zh-CN" w:bidi="ar-SA"/>
    </w:rPr>
  </w:style>
  <w:style w:type="paragraph" w:styleId="Heading1">
    <w:name w:val="Heading 1"/>
    <w:basedOn w:val="Normal"/>
    <w:next w:val="Normal"/>
    <w:qFormat/>
    <w:pPr>
      <w:keepNext w:val="true"/>
      <w:numPr>
        <w:ilvl w:val="0"/>
        <w:numId w:val="1"/>
      </w:numPr>
      <w:spacing w:before="240" w:after="60"/>
      <w:outlineLvl w:val="0"/>
    </w:pPr>
    <w:rPr>
      <w:b/>
      <w:kern w:val="2"/>
      <w:sz w:val="32"/>
    </w:rPr>
  </w:style>
  <w:style w:type="paragraph" w:styleId="Heading2">
    <w:name w:val="Heading 2"/>
    <w:basedOn w:val="Normal"/>
    <w:next w:val="Normal"/>
    <w:qFormat/>
    <w:pPr>
      <w:keepNext w:val="true"/>
      <w:numPr>
        <w:ilvl w:val="1"/>
        <w:numId w:val="1"/>
      </w:numPr>
      <w:spacing w:before="240" w:after="60"/>
      <w:outlineLvl w:val="1"/>
    </w:pPr>
    <w:rPr>
      <w:sz w:val="28"/>
    </w:rPr>
  </w:style>
  <w:style w:type="paragraph" w:styleId="Heading3">
    <w:name w:val="Heading 3"/>
    <w:basedOn w:val="Normal"/>
    <w:next w:val="Normal"/>
    <w:qFormat/>
    <w:pPr>
      <w:keepNext w:val="true"/>
      <w:numPr>
        <w:ilvl w:val="2"/>
        <w:numId w:val="1"/>
      </w:numPr>
      <w:spacing w:before="240" w:after="60"/>
      <w:outlineLvl w:val="2"/>
    </w:pPr>
    <w:rPr>
      <w:b/>
      <w:sz w:val="24"/>
    </w:rPr>
  </w:style>
  <w:style w:type="paragraph" w:styleId="Heading4">
    <w:name w:val="Heading 4"/>
    <w:basedOn w:val="Normal"/>
    <w:next w:val="Normal"/>
    <w:qFormat/>
    <w:pPr>
      <w:keepNext w:val="true"/>
      <w:numPr>
        <w:ilvl w:val="3"/>
        <w:numId w:val="1"/>
      </w:numPr>
      <w:jc w:val="center"/>
      <w:outlineLvl w:val="3"/>
    </w:pPr>
    <w:rPr>
      <w:rFonts w:ascii="Comic Sans MS" w:hAnsi="Comic Sans MS" w:cs="Comic Sans MS"/>
      <w:sz w:val="24"/>
      <w:lang w:val="es-ES_tradnl"/>
    </w:rPr>
  </w:style>
  <w:style w:type="paragraph" w:styleId="Heading5">
    <w:name w:val="Heading 5"/>
    <w:basedOn w:val="Normal"/>
    <w:next w:val="Normal"/>
    <w:qFormat/>
    <w:pPr>
      <w:keepNext w:val="true"/>
      <w:numPr>
        <w:ilvl w:val="4"/>
        <w:numId w:val="1"/>
      </w:numPr>
      <w:outlineLvl w:val="4"/>
    </w:pPr>
    <w:rPr>
      <w:i/>
    </w:rPr>
  </w:style>
  <w:style w:type="paragraph" w:styleId="Heading6">
    <w:name w:val="Heading 6"/>
    <w:basedOn w:val="Normal"/>
    <w:next w:val="Normal"/>
    <w:qFormat/>
    <w:pPr>
      <w:keepNext w:val="true"/>
      <w:numPr>
        <w:ilvl w:val="5"/>
        <w:numId w:val="1"/>
      </w:numPr>
      <w:jc w:val="center"/>
      <w:outlineLvl w:val="5"/>
    </w:pPr>
    <w:rPr>
      <w:b/>
      <w:sz w:val="32"/>
      <w:lang w:val="es-ES_tradnl"/>
    </w:rPr>
  </w:style>
  <w:style w:type="paragraph" w:styleId="Heading7">
    <w:name w:val="Heading 7"/>
    <w:basedOn w:val="Normal"/>
    <w:next w:val="Normal"/>
    <w:qFormat/>
    <w:pPr>
      <w:numPr>
        <w:ilvl w:val="6"/>
        <w:numId w:val="1"/>
      </w:numPr>
      <w:spacing w:before="240" w:after="60"/>
      <w:outlineLvl w:val="6"/>
    </w:pPr>
    <w:rPr>
      <w:sz w:val="20"/>
    </w:rPr>
  </w:style>
  <w:style w:type="paragraph" w:styleId="Heading8">
    <w:name w:val="Heading 8"/>
    <w:basedOn w:val="Normal"/>
    <w:next w:val="Normal"/>
    <w:qFormat/>
    <w:pPr>
      <w:numPr>
        <w:ilvl w:val="7"/>
        <w:numId w:val="1"/>
      </w:numPr>
      <w:spacing w:before="240" w:after="60"/>
      <w:outlineLvl w:val="7"/>
    </w:pPr>
    <w:rPr>
      <w:i/>
      <w:sz w:val="20"/>
    </w:rPr>
  </w:style>
  <w:style w:type="paragraph" w:styleId="Heading9">
    <w:name w:val="Heading 9"/>
    <w:basedOn w:val="Normal"/>
    <w:next w:val="Normal"/>
    <w:qFormat/>
    <w:pPr>
      <w:numPr>
        <w:ilvl w:val="8"/>
        <w:numId w:val="1"/>
      </w:numPr>
      <w:spacing w:before="240" w:after="60"/>
      <w:outlineLvl w:val="8"/>
    </w:pPr>
    <w:rPr>
      <w:b/>
      <w:i/>
      <w:sz w:val="18"/>
    </w:rPr>
  </w:style>
  <w:style w:type="character" w:styleId="WW8Num1z0">
    <w:name w:val="WW8Num1z0"/>
    <w:qFormat/>
    <w:rPr>
      <w:sz w:val="24"/>
      <w:szCs w:val="24"/>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Arial" w:hAnsi="Arial" w:eastAsia="Calibri" w:cs="Arial"/>
      <w:sz w:val="20"/>
      <w:u w:val="none"/>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eastAsia="Calibri" w:cs="Symbol"/>
      <w:sz w:val="20"/>
      <w:lang w:eastAsia="en-US"/>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sz w:val="20"/>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cs="Symbol"/>
      <w:sz w:val="20"/>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style>
  <w:style w:type="character" w:styleId="WW8Num28z1">
    <w:name w:val="WW8Num28z1"/>
    <w:qFormat/>
    <w:rPr/>
  </w:style>
  <w:style w:type="character" w:styleId="WW8Num28z2">
    <w:name w:val="WW8Num28z2"/>
    <w:qFormat/>
    <w:rPr/>
  </w:style>
  <w:style w:type="character" w:styleId="WW8Num28z3">
    <w:name w:val="WW8Num28z3"/>
    <w:qFormat/>
    <w:rPr/>
  </w:style>
  <w:style w:type="character" w:styleId="WW8Num28z4">
    <w:name w:val="WW8Num28z4"/>
    <w:qFormat/>
    <w:rPr/>
  </w:style>
  <w:style w:type="character" w:styleId="WW8Num28z5">
    <w:name w:val="WW8Num28z5"/>
    <w:qFormat/>
    <w:rPr/>
  </w:style>
  <w:style w:type="character" w:styleId="WW8Num28z6">
    <w:name w:val="WW8Num28z6"/>
    <w:qFormat/>
    <w:rPr/>
  </w:style>
  <w:style w:type="character" w:styleId="WW8Num28z7">
    <w:name w:val="WW8Num28z7"/>
    <w:qFormat/>
    <w:rPr/>
  </w:style>
  <w:style w:type="character" w:styleId="WW8Num28z8">
    <w:name w:val="WW8Num28z8"/>
    <w:qFormat/>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style>
  <w:style w:type="character" w:styleId="WW8Num32z1">
    <w:name w:val="WW8Num32z1"/>
    <w:qFormat/>
    <w:rPr/>
  </w:style>
  <w:style w:type="character" w:styleId="WW8Num32z2">
    <w:name w:val="WW8Num32z2"/>
    <w:qFormat/>
    <w:rPr/>
  </w:style>
  <w:style w:type="character" w:styleId="WW8Num32z3">
    <w:name w:val="WW8Num32z3"/>
    <w:qFormat/>
    <w:rPr/>
  </w:style>
  <w:style w:type="character" w:styleId="WW8Num32z4">
    <w:name w:val="WW8Num32z4"/>
    <w:qFormat/>
    <w:rPr/>
  </w:style>
  <w:style w:type="character" w:styleId="WW8Num32z5">
    <w:name w:val="WW8Num32z5"/>
    <w:qFormat/>
    <w:rPr/>
  </w:style>
  <w:style w:type="character" w:styleId="WW8Num32z6">
    <w:name w:val="WW8Num32z6"/>
    <w:qFormat/>
    <w:rPr/>
  </w:style>
  <w:style w:type="character" w:styleId="WW8Num32z7">
    <w:name w:val="WW8Num32z7"/>
    <w:qFormat/>
    <w:rPr/>
  </w:style>
  <w:style w:type="character" w:styleId="WW8Num32z8">
    <w:name w:val="WW8Num32z8"/>
    <w:qFormat/>
    <w:rPr/>
  </w:style>
  <w:style w:type="character" w:styleId="WW8Num33z0">
    <w:name w:val="WW8Num33z0"/>
    <w:qFormat/>
    <w:rPr/>
  </w:style>
  <w:style w:type="character" w:styleId="WW8Num33z1">
    <w:name w:val="WW8Num33z1"/>
    <w:qFormat/>
    <w:rPr/>
  </w:style>
  <w:style w:type="character" w:styleId="WW8Num33z2">
    <w:name w:val="WW8Num33z2"/>
    <w:qFormat/>
    <w:rPr/>
  </w:style>
  <w:style w:type="character" w:styleId="WW8Num33z3">
    <w:name w:val="WW8Num33z3"/>
    <w:qFormat/>
    <w:rPr/>
  </w:style>
  <w:style w:type="character" w:styleId="WW8Num33z4">
    <w:name w:val="WW8Num33z4"/>
    <w:qFormat/>
    <w:rPr/>
  </w:style>
  <w:style w:type="character" w:styleId="WW8Num33z5">
    <w:name w:val="WW8Num33z5"/>
    <w:qFormat/>
    <w:rPr/>
  </w:style>
  <w:style w:type="character" w:styleId="WW8Num33z6">
    <w:name w:val="WW8Num33z6"/>
    <w:qFormat/>
    <w:rPr/>
  </w:style>
  <w:style w:type="character" w:styleId="WW8Num33z7">
    <w:name w:val="WW8Num33z7"/>
    <w:qFormat/>
    <w:rPr/>
  </w:style>
  <w:style w:type="character" w:styleId="WW8Num33z8">
    <w:name w:val="WW8Num33z8"/>
    <w:qFormat/>
    <w:rPr/>
  </w:style>
  <w:style w:type="character" w:styleId="WW8Num34z0">
    <w:name w:val="WW8Num34z0"/>
    <w:qFormat/>
    <w:rPr>
      <w:rFonts w:ascii="Symbol" w:hAnsi="Symbol" w:cs="Symbo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5z0">
    <w:name w:val="WW8Num35z0"/>
    <w:qFormat/>
    <w:rPr/>
  </w:style>
  <w:style w:type="character" w:styleId="WW8Num35z1">
    <w:name w:val="WW8Num35z1"/>
    <w:qFormat/>
    <w:rPr/>
  </w:style>
  <w:style w:type="character" w:styleId="WW8Num35z2">
    <w:name w:val="WW8Num35z2"/>
    <w:qFormat/>
    <w:rPr/>
  </w:style>
  <w:style w:type="character" w:styleId="WW8Num35z3">
    <w:name w:val="WW8Num35z3"/>
    <w:qFormat/>
    <w:rPr/>
  </w:style>
  <w:style w:type="character" w:styleId="WW8Num35z4">
    <w:name w:val="WW8Num35z4"/>
    <w:qFormat/>
    <w:rPr/>
  </w:style>
  <w:style w:type="character" w:styleId="WW8Num35z5">
    <w:name w:val="WW8Num35z5"/>
    <w:qFormat/>
    <w:rPr/>
  </w:style>
  <w:style w:type="character" w:styleId="WW8Num35z6">
    <w:name w:val="WW8Num35z6"/>
    <w:qFormat/>
    <w:rPr/>
  </w:style>
  <w:style w:type="character" w:styleId="WW8Num35z7">
    <w:name w:val="WW8Num35z7"/>
    <w:qFormat/>
    <w:rPr/>
  </w:style>
  <w:style w:type="character" w:styleId="WW8Num35z8">
    <w:name w:val="WW8Num35z8"/>
    <w:qFormat/>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rFonts w:ascii="Symbol" w:hAnsi="Symbol" w:cs="Symbol"/>
      <w:sz w:val="20"/>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Fuentedeprrafopredeter">
    <w:name w:val="Fuente de párrafo predeter."/>
    <w:qFormat/>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6z4">
    <w:name w:val="WW8Num6z4"/>
    <w:qFormat/>
    <w:rPr>
      <w:rFonts w:ascii="Courier New" w:hAnsi="Courier New" w:cs="Courier New"/>
    </w:rPr>
  </w:style>
  <w:style w:type="character" w:styleId="WW8Num7z3">
    <w:name w:val="WW8Num7z3"/>
    <w:qFormat/>
    <w:rPr>
      <w:rFonts w:ascii="Symbol" w:hAnsi="Symbol" w:cs="Symbol"/>
    </w:rPr>
  </w:style>
  <w:style w:type="character" w:styleId="WW8Num8z4">
    <w:name w:val="WW8Num8z4"/>
    <w:qFormat/>
    <w:rPr>
      <w:rFonts w:ascii="Courier New" w:hAnsi="Courier New" w:cs="Courier New"/>
    </w:rPr>
  </w:style>
  <w:style w:type="character" w:styleId="WW8Num23z4">
    <w:name w:val="WW8Num23z4"/>
    <w:qFormat/>
    <w:rPr>
      <w:rFonts w:ascii="Courier New" w:hAnsi="Courier New" w:cs="Courier New"/>
    </w:rPr>
  </w:style>
  <w:style w:type="character" w:styleId="WW8Num27z3">
    <w:name w:val="WW8Num27z3"/>
    <w:qFormat/>
    <w:rPr>
      <w:rFonts w:ascii="Symbol" w:hAnsi="Symbol" w:cs="Symbol"/>
    </w:rPr>
  </w:style>
  <w:style w:type="character" w:styleId="WW8Num31z3">
    <w:name w:val="WW8Num31z3"/>
    <w:qFormat/>
    <w:rPr>
      <w:rFonts w:ascii="Symbol" w:hAnsi="Symbol" w:cs="Symbol"/>
    </w:rPr>
  </w:style>
  <w:style w:type="character" w:styleId="WWFuentedeprrafopredeter">
    <w:name w:val="WW-Fuente de párrafo predeter."/>
    <w:qFormat/>
    <w:rPr/>
  </w:style>
  <w:style w:type="character" w:styleId="PageNumber">
    <w:name w:val="Page Number"/>
    <w:basedOn w:val="WWFuentedeprrafopredeter"/>
    <w:rPr/>
  </w:style>
  <w:style w:type="character" w:styleId="Hyperlink1">
    <w:name w:val="Hyperlink1"/>
    <w:qFormat/>
    <w:rPr>
      <w:color w:val="0000FF"/>
      <w:u w:val="single"/>
    </w:rPr>
  </w:style>
  <w:style w:type="character" w:styleId="Caracteresdenotaalpie">
    <w:name w:val="Caracteres de nota al pie"/>
    <w:qFormat/>
    <w:rPr>
      <w:vertAlign w:val="superscript"/>
    </w:rPr>
  </w:style>
  <w:style w:type="character" w:styleId="Refdecomentario">
    <w:name w:val="Ref. de comentario"/>
    <w:qFormat/>
    <w:rPr>
      <w:sz w:val="16"/>
    </w:rPr>
  </w:style>
  <w:style w:type="character" w:styleId="Emphasis">
    <w:name w:val="Emphasis"/>
    <w:qFormat/>
    <w:rPr>
      <w:i/>
      <w:iCs/>
    </w:rPr>
  </w:style>
  <w:style w:type="character" w:styleId="InternetLink">
    <w:name w:val="Internet Link"/>
    <w:rPr>
      <w:color w:val="0000FF"/>
      <w:u w:val="single"/>
    </w:rPr>
  </w:style>
  <w:style w:type="character" w:styleId="CommentTextChar">
    <w:name w:val="Comment Text Char"/>
    <w:qFormat/>
    <w:rPr>
      <w:rFonts w:ascii="Arial" w:hAnsi="Arial" w:cs="Arial"/>
    </w:rPr>
  </w:style>
  <w:style w:type="character" w:styleId="CommentSubjectChar">
    <w:name w:val="Comment Subject Char"/>
    <w:basedOn w:val="CommentTextChar"/>
    <w:qFormat/>
    <w:rPr/>
  </w:style>
  <w:style w:type="character" w:styleId="BalloonTextChar">
    <w:name w:val="Balloon Text Char"/>
    <w:qFormat/>
    <w:rPr>
      <w:rFonts w:ascii="Tahoma" w:hAnsi="Tahoma" w:cs="Tahoma"/>
      <w:sz w:val="16"/>
      <w:szCs w:val="16"/>
    </w:rPr>
  </w:style>
  <w:style w:type="character" w:styleId="SubttuloCar">
    <w:name w:val="Subtítulo Car"/>
    <w:qFormat/>
    <w:rPr>
      <w:rFonts w:ascii="Cambria" w:hAnsi="Cambria" w:eastAsia="Times New Roman" w:cs="Times New Roman"/>
      <w:sz w:val="24"/>
      <w:szCs w:val="24"/>
      <w:lang w:eastAsia="zh-C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jc w:val="start"/>
    </w:pPr>
    <w:rPr>
      <w:b/>
      <w:color w:val="000000"/>
      <w:u w:val="single"/>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Encabezado1">
    <w:name w:val="Encabezado1"/>
    <w:basedOn w:val="Normal"/>
    <w:next w:val="Normal"/>
    <w:qFormat/>
    <w:pPr>
      <w:widowControl w:val="false"/>
      <w:spacing w:lineRule="auto" w:line="240"/>
      <w:ind w:start="0" w:end="0" w:firstLine="720"/>
      <w:jc w:val="center"/>
    </w:pPr>
    <w:rPr>
      <w:rFonts w:eastAsia="MS Mincho;Yu Gothic UI"/>
      <w:b/>
      <w:sz w:val="36"/>
    </w:rPr>
  </w:style>
  <w:style w:type="paragraph" w:styleId="Epgrafe">
    <w:name w:val="Epígrafe"/>
    <w:basedOn w:val="Normal"/>
    <w:qFormat/>
    <w:pPr>
      <w:suppressLineNumbers/>
      <w:spacing w:before="120" w:after="120"/>
    </w:pPr>
    <w:rPr>
      <w:rFonts w:cs="Lohit Hindi"/>
      <w:i/>
      <w:iCs/>
      <w:sz w:val="24"/>
      <w:szCs w:val="24"/>
    </w:rPr>
  </w:style>
  <w:style w:type="paragraph" w:styleId="Ndice">
    <w:name w:val="Índice"/>
    <w:basedOn w:val="Normal"/>
    <w:qFormat/>
    <w:pPr>
      <w:suppressLineNumbers/>
    </w:pPr>
    <w:rPr>
      <w:rFonts w:cs="Lohit Hindi"/>
    </w:rPr>
  </w:style>
  <w:style w:type="paragraph" w:styleId="Ttuloprincipal">
    <w:name w:val="Título principal"/>
    <w:basedOn w:val="Normal"/>
    <w:qFormat/>
    <w:pPr>
      <w:spacing w:before="240" w:after="60"/>
      <w:jc w:val="center"/>
    </w:pPr>
    <w:rPr>
      <w:rFonts w:ascii="Verdana" w:hAnsi="Verdana" w:cs="Verdana"/>
      <w:b/>
      <w:kern w:val="2"/>
      <w:sz w:val="28"/>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BodyText22">
    <w:name w:val="Body Text 22"/>
    <w:basedOn w:val="Normal"/>
    <w:qFormat/>
    <w:pPr>
      <w:jc w:val="center"/>
    </w:pPr>
    <w:rPr>
      <w:b/>
    </w:rPr>
  </w:style>
  <w:style w:type="paragraph" w:styleId="Contents1">
    <w:name w:val="TOC 1"/>
    <w:basedOn w:val="Normal"/>
    <w:next w:val="Normal"/>
    <w:pPr>
      <w:spacing w:lineRule="auto" w:line="240" w:before="120" w:after="120"/>
      <w:jc w:val="start"/>
    </w:pPr>
    <w:rPr>
      <w:rFonts w:ascii="Times New Roman" w:hAnsi="Times New Roman" w:cs="Times New Roman"/>
      <w:b/>
      <w:caps/>
    </w:rPr>
  </w:style>
  <w:style w:type="paragraph" w:styleId="Contents2">
    <w:name w:val="TOC 2"/>
    <w:basedOn w:val="Normal"/>
    <w:next w:val="Normal"/>
    <w:pPr>
      <w:spacing w:lineRule="auto" w:line="240"/>
      <w:ind w:start="221" w:end="0" w:hanging="0"/>
      <w:jc w:val="start"/>
    </w:pPr>
    <w:rPr>
      <w:rFonts w:ascii="Times New Roman" w:hAnsi="Times New Roman" w:cs="Times New Roman"/>
      <w:smallCaps/>
    </w:rPr>
  </w:style>
  <w:style w:type="paragraph" w:styleId="Contents3">
    <w:name w:val="TOC 3"/>
    <w:basedOn w:val="Normal"/>
    <w:next w:val="Normal"/>
    <w:pPr>
      <w:ind w:start="440" w:end="0" w:hanging="0"/>
      <w:jc w:val="start"/>
    </w:pPr>
    <w:rPr>
      <w:rFonts w:ascii="Times New Roman" w:hAnsi="Times New Roman" w:cs="Times New Roman"/>
      <w:i/>
    </w:rPr>
  </w:style>
  <w:style w:type="paragraph" w:styleId="Contents4">
    <w:name w:val="TOC 4"/>
    <w:basedOn w:val="Normal"/>
    <w:next w:val="Normal"/>
    <w:pPr>
      <w:ind w:start="660" w:end="0" w:hanging="0"/>
      <w:jc w:val="start"/>
    </w:pPr>
    <w:rPr>
      <w:rFonts w:ascii="Times New Roman" w:hAnsi="Times New Roman" w:cs="Times New Roman"/>
    </w:rPr>
  </w:style>
  <w:style w:type="paragraph" w:styleId="Contents5">
    <w:name w:val="TOC 5"/>
    <w:basedOn w:val="Normal"/>
    <w:next w:val="Normal"/>
    <w:pPr>
      <w:ind w:start="880" w:end="0" w:hanging="0"/>
      <w:jc w:val="start"/>
    </w:pPr>
    <w:rPr>
      <w:rFonts w:ascii="Times New Roman" w:hAnsi="Times New Roman" w:cs="Times New Roman"/>
    </w:rPr>
  </w:style>
  <w:style w:type="paragraph" w:styleId="Contents6">
    <w:name w:val="TOC 6"/>
    <w:basedOn w:val="Normal"/>
    <w:next w:val="Normal"/>
    <w:pPr>
      <w:ind w:start="1100" w:end="0" w:hanging="0"/>
      <w:jc w:val="start"/>
    </w:pPr>
    <w:rPr>
      <w:rFonts w:ascii="Times New Roman" w:hAnsi="Times New Roman" w:cs="Times New Roman"/>
    </w:rPr>
  </w:style>
  <w:style w:type="paragraph" w:styleId="Contents7">
    <w:name w:val="TOC 7"/>
    <w:basedOn w:val="Normal"/>
    <w:next w:val="Normal"/>
    <w:pPr>
      <w:ind w:start="1320" w:end="0" w:hanging="0"/>
      <w:jc w:val="start"/>
    </w:pPr>
    <w:rPr>
      <w:rFonts w:ascii="Times New Roman" w:hAnsi="Times New Roman" w:cs="Times New Roman"/>
    </w:rPr>
  </w:style>
  <w:style w:type="paragraph" w:styleId="Contents8">
    <w:name w:val="TOC 8"/>
    <w:basedOn w:val="Normal"/>
    <w:next w:val="Normal"/>
    <w:pPr>
      <w:ind w:start="1540" w:end="0" w:hanging="0"/>
      <w:jc w:val="start"/>
    </w:pPr>
    <w:rPr>
      <w:rFonts w:ascii="Times New Roman" w:hAnsi="Times New Roman" w:cs="Times New Roman"/>
    </w:rPr>
  </w:style>
  <w:style w:type="paragraph" w:styleId="Contents9">
    <w:name w:val="TOC 9"/>
    <w:basedOn w:val="Normal"/>
    <w:next w:val="Normal"/>
    <w:pPr>
      <w:ind w:start="1760" w:end="0" w:hanging="0"/>
      <w:jc w:val="start"/>
    </w:pPr>
    <w:rPr>
      <w:rFonts w:ascii="Times New Roman" w:hAnsi="Times New Roman" w:cs="Times New Roman"/>
    </w:rPr>
  </w:style>
  <w:style w:type="paragraph" w:styleId="Encab1">
    <w:name w:val="Encab 1"/>
    <w:basedOn w:val="Heading1"/>
    <w:qFormat/>
    <w:pPr>
      <w:numPr>
        <w:ilvl w:val="0"/>
        <w:numId w:val="0"/>
      </w:numPr>
      <w:tabs>
        <w:tab w:val="clear" w:pos="720"/>
        <w:tab w:val="left" w:pos="432" w:leader="none"/>
      </w:tabs>
      <w:ind w:start="432" w:end="0" w:hanging="432"/>
    </w:pPr>
    <w:rPr/>
  </w:style>
  <w:style w:type="paragraph" w:styleId="Encab2">
    <w:name w:val="Encab 2"/>
    <w:basedOn w:val="Heading2"/>
    <w:qFormat/>
    <w:pPr>
      <w:numPr>
        <w:ilvl w:val="0"/>
        <w:numId w:val="0"/>
      </w:numPr>
      <w:tabs>
        <w:tab w:val="clear" w:pos="720"/>
        <w:tab w:val="left" w:pos="576" w:leader="none"/>
      </w:tabs>
      <w:ind w:start="576" w:end="0" w:hanging="576"/>
    </w:pPr>
    <w:rPr>
      <w:i/>
    </w:rPr>
  </w:style>
  <w:style w:type="paragraph" w:styleId="Encab3">
    <w:name w:val="Encab 3"/>
    <w:basedOn w:val="Heading3"/>
    <w:qFormat/>
    <w:pPr>
      <w:numPr>
        <w:ilvl w:val="0"/>
        <w:numId w:val="0"/>
      </w:numPr>
      <w:tabs>
        <w:tab w:val="left" w:pos="720" w:leader="none"/>
      </w:tabs>
      <w:ind w:start="720" w:end="0" w:hanging="720"/>
    </w:pPr>
    <w:rPr/>
  </w:style>
  <w:style w:type="paragraph" w:styleId="Encab4">
    <w:name w:val="Encab 4"/>
    <w:basedOn w:val="Heading3"/>
    <w:qFormat/>
    <w:pPr>
      <w:numPr>
        <w:ilvl w:val="0"/>
        <w:numId w:val="2"/>
      </w:numPr>
      <w:tabs>
        <w:tab w:val="clear" w:pos="720"/>
        <w:tab w:val="left" w:pos="360" w:leader="none"/>
      </w:tabs>
      <w:ind w:start="360" w:end="0" w:hanging="360"/>
    </w:pPr>
    <w:rPr/>
  </w:style>
  <w:style w:type="paragraph" w:styleId="BodyText21">
    <w:name w:val="Body Text 21"/>
    <w:basedOn w:val="Normal"/>
    <w:qFormat/>
    <w:pPr>
      <w:ind w:start="360" w:end="0" w:hanging="0"/>
    </w:pPr>
    <w:rPr/>
  </w:style>
  <w:style w:type="paragraph" w:styleId="BodyTextIndent21">
    <w:name w:val="Body Text Indent 21"/>
    <w:basedOn w:val="Normal"/>
    <w:qFormat/>
    <w:pPr>
      <w:ind w:start="360" w:end="0" w:hanging="0"/>
    </w:pPr>
    <w:rPr>
      <w:b/>
    </w:rPr>
  </w:style>
  <w:style w:type="paragraph" w:styleId="TextBodyIndent">
    <w:name w:val="Body Text Indent"/>
    <w:basedOn w:val="Normal"/>
    <w:pPr>
      <w:spacing w:lineRule="auto" w:line="240"/>
      <w:ind w:start="720" w:end="0" w:hanging="0"/>
      <w:jc w:val="start"/>
    </w:pPr>
    <w:rPr>
      <w:rFonts w:ascii="Times New Roman" w:hAnsi="Times New Roman" w:cs="Times New Roman"/>
      <w:sz w:val="24"/>
      <w:lang w:val="es-ES"/>
    </w:rPr>
  </w:style>
  <w:style w:type="paragraph" w:styleId="NormalWeb">
    <w:name w:val="Normal (Web)"/>
    <w:basedOn w:val="Normal"/>
    <w:qFormat/>
    <w:pPr>
      <w:spacing w:lineRule="auto" w:line="240" w:before="100" w:after="100"/>
      <w:jc w:val="start"/>
    </w:pPr>
    <w:rPr>
      <w:rFonts w:ascii="Times New Roman" w:hAnsi="Times New Roman" w:cs="Times New Roman"/>
      <w:sz w:val="24"/>
      <w:lang w:val="es-ES"/>
    </w:rPr>
  </w:style>
  <w:style w:type="paragraph" w:styleId="Sangra2detindependiente">
    <w:name w:val="Sangría 2 de t. independiente"/>
    <w:basedOn w:val="Normal"/>
    <w:qFormat/>
    <w:pPr>
      <w:ind w:start="709" w:end="0" w:hanging="0"/>
    </w:pPr>
    <w:rPr/>
  </w:style>
  <w:style w:type="paragraph" w:styleId="Footnote">
    <w:name w:val="Footnote Text"/>
    <w:basedOn w:val="Normal"/>
    <w:pPr/>
    <w:rPr>
      <w:sz w:val="20"/>
    </w:rPr>
  </w:style>
  <w:style w:type="paragraph" w:styleId="Sangra3detindependiente">
    <w:name w:val="Sangría 3 de t. independiente"/>
    <w:basedOn w:val="Normal"/>
    <w:qFormat/>
    <w:pPr>
      <w:ind w:start="720" w:end="0" w:hanging="0"/>
    </w:pPr>
    <w:rPr/>
  </w:style>
  <w:style w:type="paragraph" w:styleId="Textocomentario">
    <w:name w:val="Texto comentario"/>
    <w:basedOn w:val="Normal"/>
    <w:qFormat/>
    <w:pPr/>
    <w:rPr>
      <w:sz w:val="20"/>
    </w:rPr>
  </w:style>
  <w:style w:type="paragraph" w:styleId="Textoindependiente2">
    <w:name w:val="Texto independiente 2"/>
    <w:basedOn w:val="Normal"/>
    <w:qFormat/>
    <w:pPr>
      <w:pBdr>
        <w:top w:val="single" w:sz="4" w:space="1" w:color="000000" w:shadow="1"/>
        <w:left w:val="single" w:sz="4" w:space="4" w:color="000000" w:shadow="1"/>
        <w:bottom w:val="single" w:sz="4" w:space="1" w:color="000000" w:shadow="1"/>
        <w:right w:val="single" w:sz="4" w:space="4" w:color="000000" w:shadow="1"/>
      </w:pBdr>
      <w:shd w:fill="D8D8D8" w:val="clear"/>
    </w:pPr>
    <w:rPr>
      <w:i/>
      <w:lang w:val="es-ES_tradnl"/>
    </w:rPr>
  </w:style>
  <w:style w:type="paragraph" w:styleId="WWEpgrafe">
    <w:name w:val="WW-Epígrafe"/>
    <w:basedOn w:val="Normal"/>
    <w:next w:val="Normal"/>
    <w:qFormat/>
    <w:pPr>
      <w:tabs>
        <w:tab w:val="clear" w:pos="720"/>
        <w:tab w:val="left" w:pos="6804" w:leader="none"/>
      </w:tabs>
      <w:spacing w:before="240" w:after="0"/>
      <w:jc w:val="end"/>
    </w:pPr>
    <w:rPr>
      <w:b/>
      <w:smallCaps/>
    </w:rPr>
  </w:style>
  <w:style w:type="paragraph" w:styleId="Textoindependiente3">
    <w:name w:val="Texto independiente 3"/>
    <w:basedOn w:val="Normal"/>
    <w:qFormat/>
    <w:pPr>
      <w:jc w:val="start"/>
    </w:pPr>
    <w:rPr/>
  </w:style>
  <w:style w:type="paragraph" w:styleId="Index1">
    <w:name w:val="Index 1"/>
    <w:basedOn w:val="Normal"/>
    <w:next w:val="Normal"/>
    <w:pPr>
      <w:ind w:start="220" w:end="0" w:hanging="220"/>
    </w:pPr>
    <w:rPr/>
  </w:style>
  <w:style w:type="paragraph" w:styleId="Asuntodelcomentario">
    <w:name w:val="Asunto del comentario"/>
    <w:basedOn w:val="Textocomentario"/>
    <w:next w:val="Textocomentario"/>
    <w:qFormat/>
    <w:pPr/>
    <w:rPr>
      <w:b/>
      <w:bCs/>
    </w:rPr>
  </w:style>
  <w:style w:type="paragraph" w:styleId="Textodeglobo">
    <w:name w:val="Texto de globo"/>
    <w:basedOn w:val="Normal"/>
    <w:qFormat/>
    <w:pPr>
      <w:spacing w:lineRule="auto" w:line="240"/>
    </w:pPr>
    <w:rPr>
      <w:rFonts w:ascii="Tahoma" w:hAnsi="Tahoma" w:cs="Tahoma"/>
      <w:sz w:val="16"/>
      <w:szCs w:val="16"/>
    </w:rPr>
  </w:style>
  <w:style w:type="paragraph" w:styleId="Contenidodelatabla">
    <w:name w:val="Contenido de la tabla"/>
    <w:basedOn w:val="Normal"/>
    <w:qFormat/>
    <w:pPr>
      <w:suppressLineNumbers/>
    </w:pPr>
    <w:rPr/>
  </w:style>
  <w:style w:type="paragraph" w:styleId="Encabezadodelatabla">
    <w:name w:val="Encabezado de la tabla"/>
    <w:basedOn w:val="Contenidodelatabla"/>
    <w:qFormat/>
    <w:pPr>
      <w:suppressLineNumbers/>
      <w:jc w:val="center"/>
    </w:pPr>
    <w:rPr>
      <w:b/>
      <w:bCs/>
    </w:rPr>
  </w:style>
  <w:style w:type="paragraph" w:styleId="Ndicel10">
    <w:name w:val="Índicel 10"/>
    <w:basedOn w:val="Ndice"/>
    <w:qFormat/>
    <w:pPr>
      <w:tabs>
        <w:tab w:val="clear" w:pos="720"/>
        <w:tab w:val="right" w:pos="7091" w:leader="dot"/>
      </w:tabs>
      <w:ind w:start="2547" w:end="0" w:hanging="0"/>
    </w:pPr>
    <w:rPr/>
  </w:style>
  <w:style w:type="paragraph" w:styleId="Prrafodelista">
    <w:name w:val="Párrafo de lista"/>
    <w:basedOn w:val="Normal"/>
    <w:qFormat/>
    <w:pPr>
      <w:suppressAutoHyphens w:val="false"/>
      <w:spacing w:lineRule="auto" w:line="276" w:before="0" w:after="200"/>
      <w:ind w:start="720" w:hanging="0"/>
      <w:contextualSpacing/>
      <w:jc w:val="start"/>
    </w:pPr>
    <w:rPr>
      <w:rFonts w:ascii="Calibri" w:hAnsi="Calibri" w:eastAsia="Calibri" w:cs="Times New Roman"/>
      <w:szCs w:val="22"/>
    </w:rPr>
  </w:style>
  <w:style w:type="paragraph" w:styleId="Subtitle">
    <w:name w:val="Subtitle"/>
    <w:basedOn w:val="Normal"/>
    <w:next w:val="Normal"/>
    <w:qFormat/>
    <w:pPr>
      <w:spacing w:before="0" w:after="60"/>
      <w:jc w:val="center"/>
      <w:outlineLvl w:val="1"/>
    </w:pPr>
    <w:rPr>
      <w:rFonts w:ascii="Cambria" w:hAnsi="Cambria" w:eastAsia="Times New Roman" w:cs="Times New Roman"/>
      <w:sz w:val="24"/>
      <w:szCs w:val="24"/>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luiss81@gmail.com"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3.wmf"/><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word/_rels/footer3.xml.rels><?xml version="1.0" encoding="UTF-8"?>
<Relationships xmlns="http://schemas.openxmlformats.org/package/2006/relationships"><Relationship Id="rId1"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Cuestionario</Template>
  <TotalTime>87</TotalTime>
  <Application>LibreOffice/6.3.2.2$Linux_X86_64 LibreOffice_project/98b30e735bda24bc04ab42594c85f7fd8be07b9c</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2016-09-26T18:15:00Z</dcterms:created>
  <dc:creator>Cinthia</dc:creator>
  <dc:description/>
  <cp:keywords/>
  <dc:language>en-US</dc:language>
  <cp:lastModifiedBy>luis</cp:lastModifiedBy>
  <cp:lastPrinted>2005-06-30T15:10:00Z</cp:lastPrinted>
  <dcterms:modified xsi:type="dcterms:W3CDTF">2016-09-26T19:49:00Z</dcterms:modified>
  <cp:revision>63</cp:revision>
  <dc:subject/>
  <dc:title>Informe de Avance Nº 1</dc:title>
</cp:coreProperties>
</file>