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1057910</wp:posOffset>
            </wp:positionH>
            <wp:positionV relativeFrom="page">
              <wp:posOffset>1306195</wp:posOffset>
            </wp:positionV>
            <wp:extent cx="1620520" cy="11341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620520" cy="11341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6" w:lineRule="exact"/>
        <w:rPr>
          <w:sz w:val="24"/>
          <w:szCs w:val="24"/>
          <w:color w:val="auto"/>
        </w:rPr>
      </w:pPr>
    </w:p>
    <w:p>
      <w:pPr>
        <w:ind w:left="3120" w:right="1520"/>
        <w:spacing w:after="0" w:line="407" w:lineRule="auto"/>
        <w:rPr>
          <w:sz w:val="20"/>
          <w:szCs w:val="20"/>
          <w:color w:val="auto"/>
        </w:rPr>
      </w:pPr>
      <w:r>
        <w:rPr>
          <w:rFonts w:ascii="Arial" w:cs="Arial" w:eastAsia="Arial" w:hAnsi="Arial"/>
          <w:sz w:val="24"/>
          <w:szCs w:val="24"/>
          <w:b w:val="1"/>
          <w:bCs w:val="1"/>
          <w:color w:val="auto"/>
        </w:rPr>
        <w:t>Universidad Tecnológica Nacional Facultad Regional Buenos Aires Ingeniería en Sistemas de Información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10160</wp:posOffset>
            </wp:positionH>
            <wp:positionV relativeFrom="paragraph">
              <wp:posOffset>307340</wp:posOffset>
            </wp:positionV>
            <wp:extent cx="6120130" cy="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120130" cy="190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5" w:lineRule="exact"/>
        <w:rPr>
          <w:sz w:val="24"/>
          <w:szCs w:val="24"/>
          <w:color w:val="auto"/>
        </w:rPr>
      </w:pPr>
    </w:p>
    <w:p>
      <w:pPr>
        <w:jc w:val="right"/>
        <w:ind w:right="20"/>
        <w:spacing w:after="0"/>
        <w:rPr>
          <w:sz w:val="20"/>
          <w:szCs w:val="20"/>
          <w:color w:val="auto"/>
        </w:rPr>
      </w:pPr>
      <w:r>
        <w:rPr>
          <w:rFonts w:ascii="Arial" w:cs="Arial" w:eastAsia="Arial" w:hAnsi="Arial"/>
          <w:sz w:val="15"/>
          <w:szCs w:val="15"/>
          <w:b w:val="1"/>
          <w:bCs w:val="1"/>
          <w:color w:val="auto"/>
        </w:rPr>
        <w:t>CURSO</w:t>
      </w:r>
      <w:r>
        <w:rPr>
          <w:rFonts w:ascii="Arial" w:cs="Arial" w:eastAsia="Arial" w:hAnsi="Arial"/>
          <w:sz w:val="22"/>
          <w:szCs w:val="22"/>
          <w:b w:val="1"/>
          <w:bCs w:val="1"/>
          <w:color w:val="auto"/>
        </w:rPr>
        <w:t>: K5052 - 1º C</w:t>
      </w:r>
      <w:r>
        <w:rPr>
          <w:rFonts w:ascii="Arial" w:cs="Arial" w:eastAsia="Arial" w:hAnsi="Arial"/>
          <w:sz w:val="15"/>
          <w:szCs w:val="15"/>
          <w:b w:val="1"/>
          <w:bCs w:val="1"/>
          <w:color w:val="auto"/>
        </w:rPr>
        <w:t>UAT</w:t>
      </w:r>
      <w:r>
        <w:rPr>
          <w:rFonts w:ascii="Arial" w:cs="Arial" w:eastAsia="Arial" w:hAnsi="Arial"/>
          <w:sz w:val="22"/>
          <w:szCs w:val="22"/>
          <w:b w:val="1"/>
          <w:bCs w:val="1"/>
          <w:color w:val="auto"/>
        </w:rPr>
        <w:t>. 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4" w:lineRule="exact"/>
        <w:rPr>
          <w:sz w:val="24"/>
          <w:szCs w:val="24"/>
          <w:color w:val="auto"/>
        </w:rPr>
      </w:pPr>
    </w:p>
    <w:p>
      <w:pPr>
        <w:jc w:val="center"/>
        <w:ind w:right="20"/>
        <w:spacing w:after="0"/>
        <w:rPr>
          <w:sz w:val="20"/>
          <w:szCs w:val="20"/>
          <w:color w:val="auto"/>
        </w:rPr>
      </w:pPr>
      <w:r>
        <w:rPr>
          <w:rFonts w:ascii="Arial" w:cs="Arial" w:eastAsia="Arial" w:hAnsi="Arial"/>
          <w:sz w:val="32"/>
          <w:szCs w:val="32"/>
          <w:b w:val="1"/>
          <w:bCs w:val="1"/>
          <w:u w:val="single" w:color="auto"/>
          <w:color w:val="auto"/>
        </w:rPr>
        <w:t>Marketing en Internet y Nueva Economía – TP 5</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1" w:lineRule="exact"/>
        <w:rPr>
          <w:sz w:val="24"/>
          <w:szCs w:val="24"/>
          <w:color w:val="auto"/>
        </w:rPr>
      </w:pPr>
    </w:p>
    <w:tbl>
      <w:tblPr>
        <w:tblLayout w:type="fixed"/>
        <w:tblInd w:w="0" w:type="dxa"/>
        <w:tblCellMar>
          <w:top w:w="0" w:type="dxa"/>
          <w:left w:w="0" w:type="dxa"/>
          <w:bottom w:w="0" w:type="dxa"/>
          <w:right w:w="0" w:type="dxa"/>
        </w:tblCellMar>
      </w:tblPr>
      <w:tr>
        <w:trPr>
          <w:trHeight w:val="458"/>
        </w:trPr>
        <w:tc>
          <w:tcPr>
            <w:tcW w:w="1680" w:type="dxa"/>
            <w:vAlign w:val="bottom"/>
            <w:gridSpan w:val="4"/>
          </w:tcPr>
          <w:p>
            <w:pPr>
              <w:spacing w:after="0"/>
              <w:rPr>
                <w:sz w:val="20"/>
                <w:szCs w:val="20"/>
                <w:color w:val="auto"/>
              </w:rPr>
            </w:pPr>
            <w:r>
              <w:rPr>
                <w:rFonts w:ascii="Arial" w:cs="Arial" w:eastAsia="Arial" w:hAnsi="Arial"/>
                <w:sz w:val="24"/>
                <w:szCs w:val="24"/>
                <w:b w:val="1"/>
                <w:bCs w:val="1"/>
                <w:color w:val="auto"/>
              </w:rPr>
              <w:t>Profesor</w:t>
            </w:r>
            <w:r>
              <w:rPr>
                <w:rFonts w:ascii="Gautami" w:cs="Gautami" w:eastAsia="Gautami" w:hAnsi="Gautami"/>
                <w:sz w:val="24"/>
                <w:szCs w:val="24"/>
                <w:b w:val="1"/>
                <w:bCs w:val="1"/>
                <w:color w:val="auto"/>
              </w:rPr>
              <w:t>​</w:t>
            </w:r>
            <w:r>
              <w:rPr>
                <w:rFonts w:ascii="Arial" w:cs="Arial" w:eastAsia="Arial" w:hAnsi="Arial"/>
                <w:sz w:val="24"/>
                <w:szCs w:val="24"/>
                <w:b w:val="1"/>
                <w:bCs w:val="1"/>
                <w:color w:val="auto"/>
              </w:rPr>
              <w:t>:</w:t>
            </w:r>
          </w:p>
        </w:tc>
        <w:tc>
          <w:tcPr>
            <w:tcW w:w="2640" w:type="dxa"/>
            <w:vAlign w:val="bottom"/>
          </w:tcPr>
          <w:p>
            <w:pPr>
              <w:ind w:left="480"/>
              <w:spacing w:after="0"/>
              <w:rPr>
                <w:sz w:val="20"/>
                <w:szCs w:val="20"/>
                <w:color w:val="auto"/>
              </w:rPr>
            </w:pPr>
            <w:r>
              <w:rPr>
                <w:rFonts w:ascii="Arial" w:cs="Arial" w:eastAsia="Arial" w:hAnsi="Arial"/>
                <w:sz w:val="24"/>
                <w:szCs w:val="24"/>
                <w:b w:val="1"/>
                <w:bCs w:val="1"/>
                <w:i w:val="1"/>
                <w:iCs w:val="1"/>
                <w:color w:val="auto"/>
                <w:w w:val="92"/>
              </w:rPr>
              <w:t>Dr. Alejandro Prince</w:t>
            </w:r>
          </w:p>
        </w:tc>
      </w:tr>
      <w:tr>
        <w:trPr>
          <w:trHeight w:val="20"/>
        </w:trPr>
        <w:tc>
          <w:tcPr>
            <w:tcW w:w="860" w:type="dxa"/>
            <w:vAlign w:val="bottom"/>
            <w:shd w:val="clear" w:color="auto" w:fill="000000"/>
          </w:tcPr>
          <w:p>
            <w:pPr>
              <w:spacing w:after="0" w:line="20" w:lineRule="exact"/>
              <w:rPr>
                <w:sz w:val="1"/>
                <w:szCs w:val="1"/>
                <w:color w:val="auto"/>
              </w:rPr>
            </w:pPr>
          </w:p>
        </w:tc>
        <w:tc>
          <w:tcPr>
            <w:tcW w:w="14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2640" w:type="dxa"/>
            <w:vAlign w:val="bottom"/>
          </w:tcPr>
          <w:p>
            <w:pPr>
              <w:spacing w:after="0" w:line="20" w:lineRule="exact"/>
              <w:rPr>
                <w:sz w:val="1"/>
                <w:szCs w:val="1"/>
                <w:color w:val="auto"/>
              </w:rPr>
            </w:pPr>
          </w:p>
        </w:tc>
      </w:tr>
      <w:tr>
        <w:trPr>
          <w:trHeight w:val="701"/>
        </w:trPr>
        <w:tc>
          <w:tcPr>
            <w:tcW w:w="1680" w:type="dxa"/>
            <w:vAlign w:val="bottom"/>
            <w:gridSpan w:val="4"/>
          </w:tcPr>
          <w:p>
            <w:pPr>
              <w:spacing w:after="0"/>
              <w:rPr>
                <w:sz w:val="20"/>
                <w:szCs w:val="20"/>
                <w:color w:val="auto"/>
              </w:rPr>
            </w:pPr>
            <w:r>
              <w:rPr>
                <w:rFonts w:ascii="Arial" w:cs="Arial" w:eastAsia="Arial" w:hAnsi="Arial"/>
                <w:sz w:val="24"/>
                <w:szCs w:val="24"/>
                <w:b w:val="1"/>
                <w:bCs w:val="1"/>
                <w:color w:val="auto"/>
              </w:rPr>
              <w:t>Ayudante</w:t>
            </w:r>
            <w:r>
              <w:rPr>
                <w:rFonts w:ascii="Gautami" w:cs="Gautami" w:eastAsia="Gautami" w:hAnsi="Gautami"/>
                <w:sz w:val="24"/>
                <w:szCs w:val="24"/>
                <w:b w:val="1"/>
                <w:bCs w:val="1"/>
                <w:color w:val="auto"/>
              </w:rPr>
              <w:t>​</w:t>
            </w:r>
            <w:r>
              <w:rPr>
                <w:rFonts w:ascii="Arial" w:cs="Arial" w:eastAsia="Arial" w:hAnsi="Arial"/>
                <w:sz w:val="24"/>
                <w:szCs w:val="24"/>
                <w:b w:val="1"/>
                <w:bCs w:val="1"/>
                <w:color w:val="auto"/>
              </w:rPr>
              <w:t>:</w:t>
            </w:r>
          </w:p>
        </w:tc>
        <w:tc>
          <w:tcPr>
            <w:tcW w:w="2640" w:type="dxa"/>
            <w:vAlign w:val="bottom"/>
          </w:tcPr>
          <w:p>
            <w:pPr>
              <w:ind w:left="480"/>
              <w:spacing w:after="0"/>
              <w:rPr>
                <w:sz w:val="20"/>
                <w:szCs w:val="20"/>
                <w:color w:val="auto"/>
              </w:rPr>
            </w:pPr>
            <w:r>
              <w:rPr>
                <w:rFonts w:ascii="Arial" w:cs="Arial" w:eastAsia="Arial" w:hAnsi="Arial"/>
                <w:sz w:val="24"/>
                <w:szCs w:val="24"/>
                <w:color w:val="auto"/>
              </w:rPr>
              <w:t>Alejandro Bracho</w:t>
            </w:r>
          </w:p>
        </w:tc>
      </w:tr>
      <w:tr>
        <w:trPr>
          <w:trHeight w:val="476"/>
        </w:trPr>
        <w:tc>
          <w:tcPr>
            <w:tcW w:w="860" w:type="dxa"/>
            <w:vAlign w:val="bottom"/>
            <w:tcBorders>
              <w:top w:val="single" w:sz="8" w:color="auto"/>
            </w:tcBorders>
          </w:tcPr>
          <w:p>
            <w:pPr>
              <w:spacing w:after="0"/>
              <w:rPr>
                <w:sz w:val="24"/>
                <w:szCs w:val="24"/>
                <w:color w:val="auto"/>
              </w:rPr>
            </w:pPr>
          </w:p>
        </w:tc>
        <w:tc>
          <w:tcPr>
            <w:tcW w:w="140" w:type="dxa"/>
            <w:vAlign w:val="bottom"/>
            <w:tcBorders>
              <w:top w:val="single" w:sz="8" w:color="auto"/>
            </w:tcBorders>
          </w:tcPr>
          <w:p>
            <w:pPr>
              <w:spacing w:after="0"/>
              <w:rPr>
                <w:sz w:val="24"/>
                <w:szCs w:val="24"/>
                <w:color w:val="auto"/>
              </w:rPr>
            </w:pPr>
          </w:p>
        </w:tc>
        <w:tc>
          <w:tcPr>
            <w:tcW w:w="100" w:type="dxa"/>
            <w:vAlign w:val="bottom"/>
            <w:tcBorders>
              <w:top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2640" w:type="dxa"/>
            <w:vAlign w:val="bottom"/>
          </w:tcPr>
          <w:p>
            <w:pPr>
              <w:ind w:left="480"/>
              <w:spacing w:after="0"/>
              <w:rPr>
                <w:sz w:val="20"/>
                <w:szCs w:val="20"/>
                <w:color w:val="auto"/>
              </w:rPr>
            </w:pPr>
            <w:r>
              <w:rPr>
                <w:rFonts w:ascii="Arial" w:cs="Arial" w:eastAsia="Arial" w:hAnsi="Arial"/>
                <w:sz w:val="24"/>
                <w:szCs w:val="24"/>
                <w:color w:val="auto"/>
              </w:rPr>
              <w:t>Hernán Borré</w:t>
            </w:r>
          </w:p>
        </w:tc>
      </w:tr>
      <w:tr>
        <w:trPr>
          <w:trHeight w:val="810"/>
        </w:trPr>
        <w:tc>
          <w:tcPr>
            <w:tcW w:w="1000" w:type="dxa"/>
            <w:vAlign w:val="bottom"/>
            <w:tcBorders>
              <w:bottom w:val="single" w:sz="8" w:color="auto"/>
            </w:tcBorders>
            <w:gridSpan w:val="2"/>
          </w:tcPr>
          <w:p>
            <w:pPr>
              <w:spacing w:after="0"/>
              <w:rPr>
                <w:sz w:val="20"/>
                <w:szCs w:val="20"/>
                <w:color w:val="auto"/>
              </w:rPr>
            </w:pPr>
            <w:r>
              <w:rPr>
                <w:rFonts w:ascii="Arial" w:cs="Arial" w:eastAsia="Arial" w:hAnsi="Arial"/>
                <w:sz w:val="24"/>
                <w:szCs w:val="24"/>
                <w:b w:val="1"/>
                <w:bCs w:val="1"/>
                <w:color w:val="auto"/>
                <w:w w:val="98"/>
              </w:rPr>
              <w:t>Alumno:</w:t>
            </w:r>
          </w:p>
        </w:tc>
        <w:tc>
          <w:tcPr>
            <w:tcW w:w="680" w:type="dxa"/>
            <w:vAlign w:val="bottom"/>
            <w:gridSpan w:val="2"/>
          </w:tcPr>
          <w:p>
            <w:pPr>
              <w:spacing w:after="0"/>
              <w:rPr>
                <w:sz w:val="24"/>
                <w:szCs w:val="24"/>
                <w:color w:val="auto"/>
              </w:rPr>
            </w:pPr>
          </w:p>
        </w:tc>
        <w:tc>
          <w:tcPr>
            <w:tcW w:w="2640" w:type="dxa"/>
            <w:vAlign w:val="bottom"/>
          </w:tcPr>
          <w:p>
            <w:pPr>
              <w:ind w:left="480"/>
              <w:spacing w:after="0"/>
              <w:rPr>
                <w:sz w:val="20"/>
                <w:szCs w:val="20"/>
                <w:color w:val="auto"/>
              </w:rPr>
            </w:pPr>
            <w:r>
              <w:rPr>
                <w:rFonts w:ascii="Arial" w:cs="Arial" w:eastAsia="Arial" w:hAnsi="Arial"/>
                <w:sz w:val="24"/>
                <w:szCs w:val="24"/>
                <w:color w:val="auto"/>
              </w:rPr>
              <w:t>Tomás Duhourq</w:t>
            </w:r>
          </w:p>
        </w:tc>
      </w:tr>
      <w:tr>
        <w:trPr>
          <w:trHeight w:val="415"/>
        </w:trPr>
        <w:tc>
          <w:tcPr>
            <w:tcW w:w="860" w:type="dxa"/>
            <w:vAlign w:val="bottom"/>
            <w:tcBorders>
              <w:bottom w:val="single" w:sz="8" w:color="auto"/>
            </w:tcBorders>
          </w:tcPr>
          <w:p>
            <w:pPr>
              <w:spacing w:after="0"/>
              <w:rPr>
                <w:sz w:val="20"/>
                <w:szCs w:val="20"/>
                <w:color w:val="auto"/>
              </w:rPr>
            </w:pPr>
            <w:r>
              <w:rPr>
                <w:rFonts w:ascii="Arial" w:cs="Arial" w:eastAsia="Arial" w:hAnsi="Arial"/>
                <w:sz w:val="24"/>
                <w:szCs w:val="24"/>
                <w:b w:val="1"/>
                <w:bCs w:val="1"/>
                <w:color w:val="auto"/>
                <w:w w:val="98"/>
              </w:rPr>
              <w:t>Legajo:</w:t>
            </w:r>
          </w:p>
        </w:tc>
        <w:tc>
          <w:tcPr>
            <w:tcW w:w="820" w:type="dxa"/>
            <w:vAlign w:val="bottom"/>
            <w:gridSpan w:val="3"/>
          </w:tcPr>
          <w:p>
            <w:pPr>
              <w:spacing w:after="0"/>
              <w:rPr>
                <w:sz w:val="24"/>
                <w:szCs w:val="24"/>
                <w:color w:val="auto"/>
              </w:rPr>
            </w:pPr>
          </w:p>
        </w:tc>
        <w:tc>
          <w:tcPr>
            <w:tcW w:w="2640" w:type="dxa"/>
            <w:vAlign w:val="bottom"/>
          </w:tcPr>
          <w:p>
            <w:pPr>
              <w:ind w:left="480"/>
              <w:spacing w:after="0"/>
              <w:rPr>
                <w:sz w:val="20"/>
                <w:szCs w:val="20"/>
                <w:color w:val="auto"/>
              </w:rPr>
            </w:pPr>
            <w:r>
              <w:rPr>
                <w:rFonts w:ascii="Arial" w:cs="Arial" w:eastAsia="Arial" w:hAnsi="Arial"/>
                <w:sz w:val="24"/>
                <w:szCs w:val="24"/>
                <w:color w:val="auto"/>
              </w:rPr>
              <w:t>144.521-2</w:t>
            </w:r>
          </w:p>
        </w:tc>
      </w:tr>
    </w:tbl>
    <w:p>
      <w:pPr>
        <w:sectPr>
          <w:pgSz w:w="11920" w:h="16840" w:orient="portrait"/>
          <w:cols w:equalWidth="0" w:num="1">
            <w:col w:w="9040"/>
          </w:cols>
          <w:pgMar w:left="1440" w:top="1440" w:right="1440" w:bottom="1440" w:gutter="0" w:footer="0" w:header="0"/>
        </w:sectPr>
      </w:pPr>
    </w:p>
    <w:bookmarkStart w:id="1" w:name="page2"/>
    <w:bookmarkEnd w:id="1"/>
    <w:p>
      <w:pPr>
        <w:spacing w:after="0"/>
        <w:rPr>
          <w:sz w:val="20"/>
          <w:szCs w:val="20"/>
          <w:color w:val="auto"/>
        </w:rPr>
      </w:pPr>
    </w:p>
    <w:p>
      <w:pPr>
        <w:sectPr>
          <w:pgSz w:w="11920" w:h="16840" w:orient="portrait"/>
          <w:cols w:equalWidth="1" w:num="1" w:space="0"/>
          <w:pgMar w:left="1440" w:top="1440" w:right="1440" w:bottom="875" w:gutter="0" w:footer="0" w:header="0"/>
        </w:sectPr>
      </w:pPr>
    </w:p>
    <w:bookmarkStart w:id="2" w:name="page3"/>
    <w:bookmarkEnd w:id="2"/>
    <w:p>
      <w:pPr>
        <w:ind w:left="720" w:right="220" w:hanging="358"/>
        <w:spacing w:after="0" w:line="311" w:lineRule="auto"/>
        <w:tabs>
          <w:tab w:leader="none" w:pos="72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Puede describir el vínculo entre las leyes de la termodinámica de Newton y la “factura entrópica”.</w:t>
      </w:r>
    </w:p>
    <w:p>
      <w:pPr>
        <w:spacing w:after="0" w:line="157" w:lineRule="exact"/>
        <w:rPr>
          <w:sz w:val="20"/>
          <w:szCs w:val="20"/>
          <w:color w:val="auto"/>
        </w:rPr>
      </w:pPr>
    </w:p>
    <w:p>
      <w:pPr>
        <w:ind w:right="60"/>
        <w:spacing w:after="0" w:line="290" w:lineRule="auto"/>
        <w:rPr>
          <w:sz w:val="20"/>
          <w:szCs w:val="20"/>
          <w:color w:val="auto"/>
        </w:rPr>
      </w:pPr>
      <w:r>
        <w:rPr>
          <w:rFonts w:ascii="Arial" w:cs="Arial" w:eastAsia="Arial" w:hAnsi="Arial"/>
          <w:sz w:val="22"/>
          <w:szCs w:val="22"/>
          <w:color w:val="auto"/>
        </w:rPr>
        <w:t>La primera y segunda ley de la termodinámica de Newton establece que “La energía total del universo es constante y la entropía total aumenta continuamente”. La ley de la conservación nos dice que la energía no se crea ni se destruye solo se transforma continuamente en una sola dirección, de disponible a no disponible. Lo que quiere decir que la energía es siempre la misma solo que en un estado se puede aprovechar y en otro no. Toda actividad económica se basa en aprovechar la energía disponible en la naturaleza para convertirla en productos y servicios. En la energía incorporada en cada producto o servicio se debe contar la energía utilizada y pérdida, y se devuelven a la naturaleza con otro aumento de la entropía.</w:t>
      </w:r>
    </w:p>
    <w:p>
      <w:pPr>
        <w:spacing w:after="0" w:line="219" w:lineRule="exact"/>
        <w:rPr>
          <w:sz w:val="20"/>
          <w:szCs w:val="20"/>
          <w:color w:val="auto"/>
        </w:rPr>
      </w:pPr>
    </w:p>
    <w:p>
      <w:pPr>
        <w:ind w:left="720" w:right="220" w:hanging="358"/>
        <w:spacing w:after="0" w:line="283" w:lineRule="auto"/>
        <w:tabs>
          <w:tab w:leader="none" w:pos="720" w:val="left"/>
        </w:tabs>
        <w:numPr>
          <w:ilvl w:val="0"/>
          <w:numId w:val="2"/>
        </w:numPr>
        <w:rPr>
          <w:rFonts w:ascii="Arial" w:cs="Arial" w:eastAsia="Arial" w:hAnsi="Arial"/>
          <w:sz w:val="22"/>
          <w:szCs w:val="22"/>
          <w:b w:val="1"/>
          <w:bCs w:val="1"/>
          <w:color w:val="auto"/>
        </w:rPr>
      </w:pPr>
      <w:r>
        <w:rPr>
          <w:rFonts w:ascii="Arial" w:cs="Arial" w:eastAsia="Arial" w:hAnsi="Arial"/>
          <w:sz w:val="22"/>
          <w:szCs w:val="22"/>
          <w:b w:val="1"/>
          <w:bCs w:val="1"/>
          <w:color w:val="auto"/>
        </w:rPr>
        <w:t>¿Podría caracterizar la Primera y Segunda revolución industrial al decir de Rifkin? ¿Qué inventos son las metáforas de cada infraestructura en cada una de esas etapas?</w:t>
      </w:r>
    </w:p>
    <w:p>
      <w:pPr>
        <w:spacing w:after="0" w:line="218" w:lineRule="exact"/>
        <w:rPr>
          <w:sz w:val="20"/>
          <w:szCs w:val="20"/>
          <w:color w:val="auto"/>
        </w:rPr>
      </w:pPr>
    </w:p>
    <w:p>
      <w:pPr>
        <w:ind w:right="160"/>
        <w:spacing w:after="0" w:line="295" w:lineRule="auto"/>
        <w:rPr>
          <w:sz w:val="20"/>
          <w:szCs w:val="20"/>
          <w:color w:val="auto"/>
        </w:rPr>
      </w:pPr>
      <w:r>
        <w:rPr>
          <w:rFonts w:ascii="Arial" w:cs="Arial" w:eastAsia="Arial" w:hAnsi="Arial"/>
          <w:sz w:val="22"/>
          <w:szCs w:val="22"/>
          <w:color w:val="auto"/>
        </w:rPr>
        <w:t>Rifkin determina que para que se produzca un cambio económico tienen que converger las comunicaciones, la energía y el transporte. Demostró que estos factores estuvieron presentes en la primera revolución industrial cuando se empezó a utilizar el vapor, el telégrafo y el ferrocarril. Y de la mano con la segunda revolución industrial el petróleo, el teléfono y el automóvil.</w:t>
      </w:r>
    </w:p>
    <w:p>
      <w:pPr>
        <w:spacing w:after="0" w:line="215" w:lineRule="exact"/>
        <w:rPr>
          <w:sz w:val="20"/>
          <w:szCs w:val="20"/>
          <w:color w:val="auto"/>
        </w:rPr>
      </w:pPr>
    </w:p>
    <w:p>
      <w:pPr>
        <w:ind w:left="720" w:right="440" w:hanging="358"/>
        <w:spacing w:after="0" w:line="311" w:lineRule="auto"/>
        <w:tabs>
          <w:tab w:leader="none" w:pos="720" w:val="left"/>
        </w:tabs>
        <w:numPr>
          <w:ilvl w:val="0"/>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¿Qué dice Rifkin que la “internet de las cosas (IOT)” le aportará a la tercera revolución industrial?</w:t>
      </w:r>
    </w:p>
    <w:p>
      <w:pPr>
        <w:spacing w:after="0" w:line="187" w:lineRule="exact"/>
        <w:rPr>
          <w:sz w:val="20"/>
          <w:szCs w:val="20"/>
          <w:color w:val="auto"/>
        </w:rPr>
      </w:pPr>
    </w:p>
    <w:p>
      <w:pPr>
        <w:ind w:right="40"/>
        <w:spacing w:after="0" w:line="293" w:lineRule="auto"/>
        <w:rPr>
          <w:sz w:val="20"/>
          <w:szCs w:val="20"/>
          <w:color w:val="auto"/>
        </w:rPr>
      </w:pPr>
      <w:r>
        <w:rPr>
          <w:rFonts w:ascii="Arial" w:cs="Arial" w:eastAsia="Arial" w:hAnsi="Arial"/>
          <w:sz w:val="22"/>
          <w:szCs w:val="22"/>
          <w:color w:val="auto"/>
        </w:rPr>
        <w:t>El IOT está aumentando la productividad hasta el punto de que el coste marginal de producir muchos bienes y servicios es casi nulo y esos bienes y servicios son prácticamente gratuitos. Como consecuencia los beneficios de las empresas se están empezando a evaporar, los derechos de propiedad pierden fuerza y la economía basada en la escasez deja paso a una economía de la abundancia. Es de esta forma que el IOT alimenta la tercera revolución industrial.</w:t>
      </w:r>
    </w:p>
    <w:p>
      <w:pPr>
        <w:spacing w:after="0" w:line="247"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4.  ¿Qué entiende Rifkin por una producción abierta, distribuida y colaborativa?</w:t>
      </w:r>
    </w:p>
    <w:p>
      <w:pPr>
        <w:spacing w:after="0" w:line="320" w:lineRule="exact"/>
        <w:rPr>
          <w:sz w:val="20"/>
          <w:szCs w:val="20"/>
          <w:color w:val="auto"/>
        </w:rPr>
      </w:pPr>
    </w:p>
    <w:p>
      <w:pPr>
        <w:ind w:right="260"/>
        <w:spacing w:after="0" w:line="298" w:lineRule="auto"/>
        <w:rPr>
          <w:sz w:val="20"/>
          <w:szCs w:val="20"/>
          <w:color w:val="auto"/>
        </w:rPr>
      </w:pPr>
      <w:r>
        <w:rPr>
          <w:rFonts w:ascii="Arial" w:cs="Arial" w:eastAsia="Arial" w:hAnsi="Arial"/>
          <w:sz w:val="22"/>
          <w:szCs w:val="22"/>
          <w:color w:val="auto"/>
        </w:rPr>
        <w:t>Rifkin define una producción abierta, distribuida y colaborativa como una red en la que cualquier persona en cualquier momento y en cualquier lugar, tenga la oportunidad de acceder a ella y usar sus datos para crear aplicaciones nuevas con las que administrar su vida diaria con un coste marginal casi nulo.</w:t>
      </w:r>
    </w:p>
    <w:p>
      <w:pPr>
        <w:spacing w:after="0" w:line="243" w:lineRule="exact"/>
        <w:rPr>
          <w:sz w:val="20"/>
          <w:szCs w:val="20"/>
          <w:color w:val="auto"/>
        </w:rPr>
      </w:pPr>
    </w:p>
    <w:p>
      <w:pPr>
        <w:ind w:left="720" w:right="20" w:hanging="358"/>
        <w:spacing w:after="0" w:line="311" w:lineRule="auto"/>
        <w:tabs>
          <w:tab w:leader="none" w:pos="720" w:val="left"/>
        </w:tabs>
        <w:numPr>
          <w:ilvl w:val="0"/>
          <w:numId w:val="4"/>
        </w:numPr>
        <w:rPr>
          <w:rFonts w:ascii="Arial" w:cs="Arial" w:eastAsia="Arial" w:hAnsi="Arial"/>
          <w:sz w:val="22"/>
          <w:szCs w:val="22"/>
          <w:b w:val="1"/>
          <w:bCs w:val="1"/>
          <w:color w:val="auto"/>
        </w:rPr>
      </w:pPr>
      <w:r>
        <w:rPr>
          <w:rFonts w:ascii="Arial" w:cs="Arial" w:eastAsia="Arial" w:hAnsi="Arial"/>
          <w:sz w:val="22"/>
          <w:szCs w:val="22"/>
          <w:b w:val="1"/>
          <w:bCs w:val="1"/>
          <w:color w:val="auto"/>
        </w:rPr>
        <w:t>¿Qué ejemplos actuales de “procomunes” se le ocurren? Describa. Qué límites le ve a los procomunes como forma de producción?</w:t>
      </w:r>
    </w:p>
    <w:p>
      <w:pPr>
        <w:spacing w:after="0" w:line="157" w:lineRule="exact"/>
        <w:rPr>
          <w:sz w:val="20"/>
          <w:szCs w:val="20"/>
          <w:color w:val="auto"/>
        </w:rPr>
      </w:pPr>
    </w:p>
    <w:p>
      <w:pPr>
        <w:ind w:right="280"/>
        <w:spacing w:after="0" w:line="305" w:lineRule="auto"/>
        <w:rPr>
          <w:sz w:val="20"/>
          <w:szCs w:val="20"/>
          <w:color w:val="auto"/>
        </w:rPr>
      </w:pPr>
      <w:r>
        <w:rPr>
          <w:rFonts w:ascii="Arial" w:cs="Arial" w:eastAsia="Arial" w:hAnsi="Arial"/>
          <w:sz w:val="22"/>
          <w:szCs w:val="22"/>
          <w:color w:val="auto"/>
        </w:rPr>
        <w:t>Un ejemplo de “procomunes” puede ser sandemans, que son un grupo de guías turísticos que ofrecen sus servicios de forma gratuita a la gorra. Son guías en diferentes idiomas y que se encuentran presente en las ciudades más importante de Europa.</w:t>
      </w:r>
    </w:p>
    <w:p>
      <w:pPr>
        <w:sectPr>
          <w:pgSz w:w="11920" w:h="16840" w:orient="portrait"/>
          <w:cols w:equalWidth="0" w:num="1">
            <w:col w:w="9040"/>
          </w:cols>
          <w:pgMar w:left="1440" w:top="1422" w:right="1440" w:bottom="1440" w:gutter="0" w:footer="0" w:header="0"/>
        </w:sectPr>
      </w:pPr>
    </w:p>
    <w:bookmarkStart w:id="3" w:name="page4"/>
    <w:bookmarkEnd w:id="3"/>
    <w:p>
      <w:pPr>
        <w:spacing w:after="0" w:line="305" w:lineRule="auto"/>
        <w:rPr>
          <w:sz w:val="20"/>
          <w:szCs w:val="20"/>
          <w:color w:val="auto"/>
        </w:rPr>
      </w:pPr>
    </w:p>
    <w:p>
      <w:pPr>
        <w:sectPr>
          <w:pgSz w:w="11920" w:h="16840" w:orient="portrait"/>
          <w:cols w:equalWidth="1" w:num="1" w:space="0"/>
          <w:pgMar w:left="1440" w:top="1440" w:right="1440" w:bottom="875" w:gutter="0" w:footer="0" w:header="0"/>
        </w:sectPr>
      </w:pPr>
    </w:p>
    <w:bookmarkStart w:id="4" w:name="page5"/>
    <w:bookmarkEnd w:id="4"/>
    <w:p>
      <w:pPr>
        <w:ind w:right="60"/>
        <w:spacing w:after="0" w:line="305" w:lineRule="auto"/>
        <w:rPr>
          <w:sz w:val="20"/>
          <w:szCs w:val="20"/>
          <w:color w:val="auto"/>
        </w:rPr>
      </w:pPr>
      <w:r>
        <w:rPr>
          <w:rFonts w:ascii="Arial" w:cs="Arial" w:eastAsia="Arial" w:hAnsi="Arial"/>
          <w:sz w:val="22"/>
          <w:szCs w:val="22"/>
          <w:color w:val="auto"/>
        </w:rPr>
        <w:t>El límite que veo es que aquellos procomunes que afectan a bienes o servicios, acotarían la innovación y la creación de productos nuevos o servicios, ya que no se podrían cubrir los costes iniciales.</w:t>
      </w:r>
    </w:p>
    <w:p>
      <w:pPr>
        <w:spacing w:after="0" w:line="205" w:lineRule="exact"/>
        <w:rPr>
          <w:sz w:val="20"/>
          <w:szCs w:val="20"/>
          <w:color w:val="auto"/>
        </w:rPr>
      </w:pPr>
    </w:p>
    <w:p>
      <w:pPr>
        <w:ind w:left="720" w:right="20" w:hanging="358"/>
        <w:spacing w:after="0" w:line="283" w:lineRule="auto"/>
        <w:tabs>
          <w:tab w:leader="none" w:pos="720"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A la sociedad/economía del conocimiento, entendida como la 3ra revolución de Rifkin, ¿cuál de las infraestructuras claves estaría más demorada y porqué? qué estaría faltando?</w:t>
      </w:r>
    </w:p>
    <w:p>
      <w:pPr>
        <w:spacing w:after="0" w:line="218" w:lineRule="exact"/>
        <w:rPr>
          <w:sz w:val="20"/>
          <w:szCs w:val="20"/>
          <w:color w:val="auto"/>
        </w:rPr>
      </w:pPr>
    </w:p>
    <w:p>
      <w:pPr>
        <w:ind w:right="260"/>
        <w:spacing w:after="0" w:line="295" w:lineRule="auto"/>
        <w:rPr>
          <w:sz w:val="20"/>
          <w:szCs w:val="20"/>
          <w:color w:val="auto"/>
        </w:rPr>
      </w:pPr>
      <w:r>
        <w:rPr>
          <w:rFonts w:ascii="Arial" w:cs="Arial" w:eastAsia="Arial" w:hAnsi="Arial"/>
          <w:sz w:val="22"/>
          <w:szCs w:val="22"/>
          <w:color w:val="auto"/>
        </w:rPr>
        <w:t>Está faltando generar conciencia en la aplicación y utilización de energías no renovables. Ya que para que las energías renovables distribuidas den lugar a unas economías de escala horizontal suficientes para hacer que el coste marginal se reduzca casi a cero para todos los miembros de la sociedad, se deben organizar y compartir entre comunidades y regiones de una manera colaborativa.</w:t>
      </w:r>
    </w:p>
    <w:p>
      <w:pPr>
        <w:spacing w:after="0" w:line="245" w:lineRule="exact"/>
        <w:rPr>
          <w:sz w:val="20"/>
          <w:szCs w:val="20"/>
          <w:color w:val="auto"/>
        </w:rPr>
      </w:pPr>
    </w:p>
    <w:p>
      <w:pPr>
        <w:ind w:left="720" w:right="20" w:hanging="358"/>
        <w:spacing w:after="0" w:line="311" w:lineRule="auto"/>
        <w:tabs>
          <w:tab w:leader="none" w:pos="720" w:val="left"/>
        </w:tabs>
        <w:numPr>
          <w:ilvl w:val="0"/>
          <w:numId w:val="6"/>
        </w:numPr>
        <w:rPr>
          <w:rFonts w:ascii="Arial" w:cs="Arial" w:eastAsia="Arial" w:hAnsi="Arial"/>
          <w:sz w:val="22"/>
          <w:szCs w:val="22"/>
          <w:b w:val="1"/>
          <w:bCs w:val="1"/>
          <w:color w:val="auto"/>
        </w:rPr>
      </w:pPr>
      <w:r>
        <w:rPr>
          <w:rFonts w:ascii="Arial" w:cs="Arial" w:eastAsia="Arial" w:hAnsi="Arial"/>
          <w:sz w:val="22"/>
          <w:szCs w:val="22"/>
          <w:b w:val="1"/>
          <w:bCs w:val="1"/>
          <w:color w:val="auto"/>
        </w:rPr>
        <w:t>¿Cómo funciona (o se garantiza) la ”innovación” bajo el procomún, comparado con el sistema capitalista?</w:t>
      </w:r>
    </w:p>
    <w:p>
      <w:pPr>
        <w:spacing w:after="0" w:line="187" w:lineRule="exact"/>
        <w:rPr>
          <w:sz w:val="20"/>
          <w:szCs w:val="20"/>
          <w:color w:val="auto"/>
        </w:rPr>
      </w:pPr>
    </w:p>
    <w:p>
      <w:pPr>
        <w:ind w:right="140"/>
        <w:spacing w:after="0" w:line="295" w:lineRule="auto"/>
        <w:rPr>
          <w:sz w:val="20"/>
          <w:szCs w:val="20"/>
          <w:color w:val="auto"/>
        </w:rPr>
      </w:pPr>
      <w:r>
        <w:rPr>
          <w:rFonts w:ascii="Arial" w:cs="Arial" w:eastAsia="Arial" w:hAnsi="Arial"/>
          <w:sz w:val="22"/>
          <w:szCs w:val="22"/>
          <w:color w:val="auto"/>
        </w:rPr>
        <w:t>El mercado capitalista se basa en el interés personal y está impulsado por el beneficio material, el procomún social está motivado por el interés colaborativo impulsa el deseo profundo de conectar y compartir con los demás. Si el primero promueve el derecho de la propiedad y la búsqueda de autonomía, el segundo promueve la innovación desinteresada, la transparencia y la creación de comunidad.</w:t>
      </w:r>
    </w:p>
    <w:p>
      <w:pPr>
        <w:spacing w:after="0" w:line="245" w:lineRule="exact"/>
        <w:rPr>
          <w:sz w:val="20"/>
          <w:szCs w:val="20"/>
          <w:color w:val="auto"/>
        </w:rPr>
      </w:pPr>
    </w:p>
    <w:p>
      <w:pPr>
        <w:ind w:left="720" w:right="220" w:hanging="358"/>
        <w:spacing w:after="0" w:line="311" w:lineRule="auto"/>
        <w:tabs>
          <w:tab w:leader="none" w:pos="720" w:val="left"/>
        </w:tabs>
        <w:numPr>
          <w:ilvl w:val="0"/>
          <w:numId w:val="7"/>
        </w:numPr>
        <w:rPr>
          <w:rFonts w:ascii="Arial" w:cs="Arial" w:eastAsia="Arial" w:hAnsi="Arial"/>
          <w:sz w:val="22"/>
          <w:szCs w:val="22"/>
          <w:b w:val="1"/>
          <w:bCs w:val="1"/>
          <w:color w:val="auto"/>
        </w:rPr>
      </w:pPr>
      <w:r>
        <w:rPr>
          <w:rFonts w:ascii="Arial" w:cs="Arial" w:eastAsia="Arial" w:hAnsi="Arial"/>
          <w:sz w:val="22"/>
          <w:szCs w:val="22"/>
          <w:b w:val="1"/>
          <w:bCs w:val="1"/>
          <w:color w:val="auto"/>
        </w:rPr>
        <w:t>Acorde su lectura de Rifkin y las clases de Prince, para el estadío actual de la economía, elija uno de estos “apellidos” y justifique brevemente.</w:t>
      </w:r>
    </w:p>
    <w:p>
      <w:pPr>
        <w:spacing w:after="0" w:line="187" w:lineRule="exact"/>
        <w:rPr>
          <w:sz w:val="20"/>
          <w:szCs w:val="20"/>
          <w:color w:val="auto"/>
        </w:rPr>
      </w:pPr>
    </w:p>
    <w:p>
      <w:pPr>
        <w:ind w:right="120"/>
        <w:spacing w:after="0" w:line="293" w:lineRule="auto"/>
        <w:rPr>
          <w:sz w:val="20"/>
          <w:szCs w:val="20"/>
          <w:color w:val="auto"/>
        </w:rPr>
      </w:pPr>
      <w:r>
        <w:rPr>
          <w:rFonts w:ascii="Arial" w:cs="Arial" w:eastAsia="Arial" w:hAnsi="Arial"/>
          <w:sz w:val="22"/>
          <w:szCs w:val="22"/>
          <w:color w:val="auto"/>
        </w:rPr>
        <w:t>En mi punto de vista definiría a la economía actual como una Economía de la Información y una Economía del Conocimiento, ya que hace bastante tiempo, la información resulta crucial para las empresas, para la toma de decisiones, y para la economía mundial en sí. También, el conocimiento es una de las bases de la economía actual, aquel que tenga un buen conocimiento sobre un tema, un conocimiento preciso, podrá resaltar y participar activamente en la nueva economía.</w:t>
      </w:r>
    </w:p>
    <w:p>
      <w:pPr>
        <w:sectPr>
          <w:pgSz w:w="11920" w:h="16840" w:orient="portrait"/>
          <w:cols w:equalWidth="0" w:num="1">
            <w:col w:w="9040"/>
          </w:cols>
          <w:pgMar w:left="1440" w:top="1424" w:right="1440" w:bottom="1440" w:gutter="0" w:footer="0" w:header="0"/>
        </w:sectPr>
      </w:pPr>
    </w:p>
    <w:bookmarkStart w:id="5" w:name="page6"/>
    <w:bookmarkEnd w:id="5"/>
    <w:sectPr>
      <w:pgSz w:w="11920" w:h="16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1"/>
    </w:lvl>
  </w:abstractNum>
  <w:abstractNum w:abstractNumId="1">
    <w:nsid w:val="238E1F29"/>
    <w:multiLevelType w:val="hybridMultilevel"/>
    <w:lvl w:ilvl="0">
      <w:lvlJc w:val="left"/>
      <w:lvlText w:val="%1."/>
      <w:numFmt w:val="decimal"/>
      <w:start w:val="2"/>
    </w:lvl>
  </w:abstractNum>
  <w:abstractNum w:abstractNumId="2">
    <w:nsid w:val="46E87CCD"/>
    <w:multiLevelType w:val="hybridMultilevel"/>
    <w:lvl w:ilvl="0">
      <w:lvlJc w:val="left"/>
      <w:lvlText w:val="%1."/>
      <w:numFmt w:val="decimal"/>
      <w:start w:val="3"/>
    </w:lvl>
  </w:abstractNum>
  <w:abstractNum w:abstractNumId="3">
    <w:nsid w:val="3D1B58BA"/>
    <w:multiLevelType w:val="hybridMultilevel"/>
    <w:lvl w:ilvl="0">
      <w:lvlJc w:val="left"/>
      <w:lvlText w:val="%1."/>
      <w:numFmt w:val="decimal"/>
      <w:start w:val="5"/>
    </w:lvl>
  </w:abstractNum>
  <w:abstractNum w:abstractNumId="4">
    <w:nsid w:val="507ED7AB"/>
    <w:multiLevelType w:val="hybridMultilevel"/>
    <w:lvl w:ilvl="0">
      <w:lvlJc w:val="left"/>
      <w:lvlText w:val="%1."/>
      <w:numFmt w:val="decimal"/>
      <w:start w:val="6"/>
    </w:lvl>
  </w:abstractNum>
  <w:abstractNum w:abstractNumId="5">
    <w:nsid w:val="2EB141F2"/>
    <w:multiLevelType w:val="hybridMultilevel"/>
    <w:lvl w:ilvl="0">
      <w:lvlJc w:val="left"/>
      <w:lvlText w:val="%1."/>
      <w:numFmt w:val="decimal"/>
      <w:start w:val="7"/>
    </w:lvl>
  </w:abstractNum>
  <w:abstractNum w:abstractNumId="6">
    <w:nsid w:val="41B71EFB"/>
    <w:multiLevelType w:val="hybridMultilevel"/>
    <w:lvl w:ilvl="0">
      <w:lvlJc w:val="left"/>
      <w:lvlText w:val="%1."/>
      <w:numFmt w:val="decimal"/>
      <w:start w:val="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2020-07-16T09:56:19Z</dcterms:created>
  <dcterms:modified xsi:type="dcterms:W3CDTF">2020-07-16T09:56:19Z</dcterms:modified>
</cp:coreProperties>
</file>