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jc w:val="center"/>
        <w:ind w:right="100"/>
        <w:spacing w:after="0"/>
        <w:rPr>
          <w:sz w:val="20"/>
          <w:szCs w:val="20"/>
          <w:color w:val="auto"/>
        </w:rPr>
      </w:pPr>
      <w:r>
        <w:rPr>
          <w:rFonts w:ascii="Arial" w:cs="Arial" w:eastAsia="Arial" w:hAnsi="Arial"/>
          <w:sz w:val="28"/>
          <w:szCs w:val="28"/>
          <w:b w:val="1"/>
          <w:bCs w:val="1"/>
          <w:u w:val="single" w:color="auto"/>
          <w:color w:val="252525"/>
        </w:rPr>
        <w:t>TRABAJO PRÁCTICO N°4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8"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Curso:</w:t>
      </w:r>
      <w:r>
        <w:rPr>
          <w:rFonts w:ascii="Arial" w:cs="Arial" w:eastAsia="Arial" w:hAnsi="Arial"/>
          <w:sz w:val="28"/>
          <w:szCs w:val="28"/>
          <w:color w:val="252525"/>
        </w:rPr>
        <w:t xml:space="preserve"> K5052</w:t>
      </w: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Profesor:</w:t>
      </w:r>
      <w:r>
        <w:rPr>
          <w:rFonts w:ascii="Arial" w:cs="Arial" w:eastAsia="Arial" w:hAnsi="Arial"/>
          <w:sz w:val="28"/>
          <w:szCs w:val="28"/>
          <w:color w:val="252525"/>
        </w:rPr>
        <w:t xml:space="preserve"> Alejandro Prince</w:t>
      </w:r>
    </w:p>
    <w:p>
      <w:pPr>
        <w:spacing w:after="0" w:line="200" w:lineRule="exact"/>
        <w:rPr>
          <w:sz w:val="24"/>
          <w:szCs w:val="24"/>
          <w:color w:val="auto"/>
        </w:rPr>
      </w:pPr>
    </w:p>
    <w:p>
      <w:pPr>
        <w:spacing w:after="0" w:line="352"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Fecha de Entrega:</w:t>
      </w:r>
      <w:r>
        <w:rPr>
          <w:rFonts w:ascii="Arial" w:cs="Arial" w:eastAsia="Arial" w:hAnsi="Arial"/>
          <w:sz w:val="28"/>
          <w:szCs w:val="28"/>
          <w:color w:val="252525"/>
        </w:rPr>
        <w:t xml:space="preserve"> 17/04/2017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tbl>
      <w:tblPr>
        <w:tblLayout w:type="fixed"/>
        <w:tblInd w:w="170" w:type="dxa"/>
        <w:tblCellMar>
          <w:top w:w="0" w:type="dxa"/>
          <w:left w:w="0" w:type="dxa"/>
          <w:bottom w:w="0" w:type="dxa"/>
          <w:right w:w="0" w:type="dxa"/>
        </w:tblCellMar>
      </w:tblPr>
      <w:tr>
        <w:trPr>
          <w:trHeight w:val="115"/>
        </w:trPr>
        <w:tc>
          <w:tcPr>
            <w:tcW w:w="880" w:type="dxa"/>
            <w:vAlign w:val="bottom"/>
            <w:tcBorders>
              <w:top w:val="single" w:sz="8" w:color="auto"/>
              <w:left w:val="single" w:sz="8" w:color="auto"/>
            </w:tcBorders>
            <w:shd w:val="clear" w:color="auto" w:fill="D9D9D9"/>
          </w:tcPr>
          <w:p>
            <w:pPr>
              <w:spacing w:after="0"/>
              <w:rPr>
                <w:sz w:val="10"/>
                <w:szCs w:val="10"/>
                <w:color w:val="auto"/>
              </w:rPr>
            </w:pPr>
          </w:p>
        </w:tc>
        <w:tc>
          <w:tcPr>
            <w:tcW w:w="1400" w:type="dxa"/>
            <w:vAlign w:val="bottom"/>
            <w:tcBorders>
              <w:top w:val="single" w:sz="8" w:color="auto"/>
            </w:tcBorders>
            <w:vMerge w:val="restart"/>
            <w:shd w:val="clear" w:color="auto" w:fill="D9D9D9"/>
          </w:tcPr>
          <w:p>
            <w:pPr>
              <w:spacing w:after="0"/>
              <w:rPr>
                <w:sz w:val="20"/>
                <w:szCs w:val="20"/>
                <w:color w:val="auto"/>
              </w:rPr>
            </w:pPr>
            <w:r>
              <w:rPr>
                <w:rFonts w:ascii="Arial" w:cs="Arial" w:eastAsia="Arial" w:hAnsi="Arial"/>
                <w:sz w:val="16"/>
                <w:szCs w:val="16"/>
                <w:b w:val="1"/>
                <w:bCs w:val="1"/>
                <w:color w:val="252525"/>
                <w:highlight w:val="lightGray"/>
                <w:w w:val="97"/>
              </w:rPr>
              <w:t>Nombre y Apellido</w:t>
            </w:r>
          </w:p>
        </w:tc>
        <w:tc>
          <w:tcPr>
            <w:tcW w:w="880" w:type="dxa"/>
            <w:vAlign w:val="bottom"/>
            <w:tcBorders>
              <w:top w:val="single" w:sz="8" w:color="auto"/>
              <w:right w:val="single" w:sz="8" w:color="auto"/>
            </w:tcBorders>
            <w:shd w:val="clear" w:color="auto" w:fill="D9D9D9"/>
          </w:tcPr>
          <w:p>
            <w:pPr>
              <w:spacing w:after="0"/>
              <w:rPr>
                <w:sz w:val="10"/>
                <w:szCs w:val="10"/>
                <w:color w:val="auto"/>
              </w:rPr>
            </w:pPr>
          </w:p>
        </w:tc>
        <w:tc>
          <w:tcPr>
            <w:tcW w:w="640" w:type="dxa"/>
            <w:vAlign w:val="bottom"/>
            <w:tcBorders>
              <w:top w:val="single" w:sz="8" w:color="auto"/>
            </w:tcBorders>
            <w:shd w:val="clear" w:color="auto" w:fill="D9D9D9"/>
          </w:tcPr>
          <w:p>
            <w:pPr>
              <w:spacing w:after="0"/>
              <w:rPr>
                <w:sz w:val="10"/>
                <w:szCs w:val="10"/>
                <w:color w:val="auto"/>
              </w:rPr>
            </w:pPr>
          </w:p>
        </w:tc>
        <w:tc>
          <w:tcPr>
            <w:tcW w:w="500" w:type="dxa"/>
            <w:vAlign w:val="bottom"/>
            <w:tcBorders>
              <w:top w:val="single" w:sz="8" w:color="auto"/>
            </w:tcBorders>
            <w:vMerge w:val="restart"/>
            <w:shd w:val="clear" w:color="auto" w:fill="D9D9D9"/>
          </w:tcPr>
          <w:p>
            <w:pPr>
              <w:jc w:val="center"/>
              <w:spacing w:after="0"/>
              <w:rPr>
                <w:sz w:val="20"/>
                <w:szCs w:val="20"/>
                <w:color w:val="auto"/>
              </w:rPr>
            </w:pPr>
            <w:r>
              <w:rPr>
                <w:rFonts w:ascii="Arial" w:cs="Arial" w:eastAsia="Arial" w:hAnsi="Arial"/>
                <w:sz w:val="16"/>
                <w:szCs w:val="16"/>
                <w:b w:val="1"/>
                <w:bCs w:val="1"/>
                <w:color w:val="252525"/>
                <w:highlight w:val="lightGray"/>
                <w:w w:val="96"/>
              </w:rPr>
              <w:t>Legajo</w:t>
            </w:r>
          </w:p>
        </w:tc>
        <w:tc>
          <w:tcPr>
            <w:tcW w:w="660" w:type="dxa"/>
            <w:vAlign w:val="bottom"/>
            <w:tcBorders>
              <w:top w:val="single" w:sz="8" w:color="auto"/>
              <w:right w:val="single" w:sz="8" w:color="auto"/>
            </w:tcBorders>
            <w:shd w:val="clear" w:color="auto" w:fill="D9D9D9"/>
          </w:tcPr>
          <w:p>
            <w:pPr>
              <w:spacing w:after="0"/>
              <w:rPr>
                <w:sz w:val="10"/>
                <w:szCs w:val="10"/>
                <w:color w:val="auto"/>
              </w:rPr>
            </w:pPr>
          </w:p>
        </w:tc>
        <w:tc>
          <w:tcPr>
            <w:tcW w:w="1780" w:type="dxa"/>
            <w:vAlign w:val="bottom"/>
            <w:tcBorders>
              <w:top w:val="single" w:sz="8" w:color="auto"/>
            </w:tcBorders>
            <w:shd w:val="clear" w:color="auto" w:fill="D9D9D9"/>
          </w:tcPr>
          <w:p>
            <w:pPr>
              <w:spacing w:after="0"/>
              <w:rPr>
                <w:sz w:val="10"/>
                <w:szCs w:val="10"/>
                <w:color w:val="auto"/>
              </w:rPr>
            </w:pPr>
          </w:p>
        </w:tc>
        <w:tc>
          <w:tcPr>
            <w:tcW w:w="420" w:type="dxa"/>
            <w:vAlign w:val="bottom"/>
            <w:tcBorders>
              <w:top w:val="single" w:sz="8" w:color="auto"/>
            </w:tcBorders>
            <w:vMerge w:val="restart"/>
            <w:shd w:val="clear" w:color="auto" w:fill="D9D9D9"/>
          </w:tcPr>
          <w:p>
            <w:pPr>
              <w:jc w:val="center"/>
              <w:spacing w:after="0"/>
              <w:rPr>
                <w:sz w:val="20"/>
                <w:szCs w:val="20"/>
                <w:color w:val="auto"/>
              </w:rPr>
            </w:pPr>
            <w:r>
              <w:rPr>
                <w:rFonts w:ascii="Arial" w:cs="Arial" w:eastAsia="Arial" w:hAnsi="Arial"/>
                <w:sz w:val="16"/>
                <w:szCs w:val="16"/>
                <w:b w:val="1"/>
                <w:bCs w:val="1"/>
                <w:color w:val="252525"/>
                <w:highlight w:val="lightGray"/>
                <w:w w:val="98"/>
              </w:rPr>
              <w:t>Email</w:t>
            </w:r>
          </w:p>
        </w:tc>
        <w:tc>
          <w:tcPr>
            <w:tcW w:w="180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79"/>
        </w:trPr>
        <w:tc>
          <w:tcPr>
            <w:tcW w:w="880" w:type="dxa"/>
            <w:vAlign w:val="bottom"/>
            <w:tcBorders>
              <w:left w:val="single" w:sz="8" w:color="auto"/>
            </w:tcBorders>
            <w:shd w:val="clear" w:color="auto" w:fill="D9D9D9"/>
          </w:tcPr>
          <w:p>
            <w:pPr>
              <w:spacing w:after="0"/>
              <w:rPr>
                <w:sz w:val="15"/>
                <w:szCs w:val="15"/>
                <w:color w:val="auto"/>
              </w:rPr>
            </w:pPr>
          </w:p>
        </w:tc>
        <w:tc>
          <w:tcPr>
            <w:tcW w:w="1400" w:type="dxa"/>
            <w:vAlign w:val="bottom"/>
            <w:vMerge w:val="continue"/>
            <w:shd w:val="clear" w:color="auto" w:fill="D9D9D9"/>
          </w:tcPr>
          <w:p>
            <w:pPr>
              <w:spacing w:after="0"/>
              <w:rPr>
                <w:sz w:val="15"/>
                <w:szCs w:val="15"/>
                <w:color w:val="auto"/>
              </w:rPr>
            </w:pPr>
          </w:p>
        </w:tc>
        <w:tc>
          <w:tcPr>
            <w:tcW w:w="880" w:type="dxa"/>
            <w:vAlign w:val="bottom"/>
            <w:tcBorders>
              <w:right w:val="single" w:sz="8" w:color="auto"/>
            </w:tcBorders>
            <w:shd w:val="clear" w:color="auto" w:fill="D9D9D9"/>
          </w:tcPr>
          <w:p>
            <w:pPr>
              <w:spacing w:after="0"/>
              <w:rPr>
                <w:sz w:val="15"/>
                <w:szCs w:val="15"/>
                <w:color w:val="auto"/>
              </w:rPr>
            </w:pPr>
          </w:p>
        </w:tc>
        <w:tc>
          <w:tcPr>
            <w:tcW w:w="640" w:type="dxa"/>
            <w:vAlign w:val="bottom"/>
            <w:shd w:val="clear" w:color="auto" w:fill="D9D9D9"/>
          </w:tcPr>
          <w:p>
            <w:pPr>
              <w:spacing w:after="0"/>
              <w:rPr>
                <w:sz w:val="15"/>
                <w:szCs w:val="15"/>
                <w:color w:val="auto"/>
              </w:rPr>
            </w:pPr>
          </w:p>
        </w:tc>
        <w:tc>
          <w:tcPr>
            <w:tcW w:w="500" w:type="dxa"/>
            <w:vAlign w:val="bottom"/>
            <w:vMerge w:val="continue"/>
            <w:shd w:val="clear" w:color="auto" w:fill="D9D9D9"/>
          </w:tcPr>
          <w:p>
            <w:pPr>
              <w:spacing w:after="0"/>
              <w:rPr>
                <w:sz w:val="15"/>
                <w:szCs w:val="15"/>
                <w:color w:val="auto"/>
              </w:rPr>
            </w:pPr>
          </w:p>
        </w:tc>
        <w:tc>
          <w:tcPr>
            <w:tcW w:w="660" w:type="dxa"/>
            <w:vAlign w:val="bottom"/>
            <w:tcBorders>
              <w:right w:val="single" w:sz="8" w:color="auto"/>
            </w:tcBorders>
            <w:shd w:val="clear" w:color="auto" w:fill="D9D9D9"/>
          </w:tcPr>
          <w:p>
            <w:pPr>
              <w:spacing w:after="0"/>
              <w:rPr>
                <w:sz w:val="15"/>
                <w:szCs w:val="15"/>
                <w:color w:val="auto"/>
              </w:rPr>
            </w:pPr>
          </w:p>
        </w:tc>
        <w:tc>
          <w:tcPr>
            <w:tcW w:w="1780" w:type="dxa"/>
            <w:vAlign w:val="bottom"/>
            <w:shd w:val="clear" w:color="auto" w:fill="D9D9D9"/>
          </w:tcPr>
          <w:p>
            <w:pPr>
              <w:spacing w:after="0"/>
              <w:rPr>
                <w:sz w:val="15"/>
                <w:szCs w:val="15"/>
                <w:color w:val="auto"/>
              </w:rPr>
            </w:pPr>
          </w:p>
        </w:tc>
        <w:tc>
          <w:tcPr>
            <w:tcW w:w="420" w:type="dxa"/>
            <w:vAlign w:val="bottom"/>
            <w:vMerge w:val="continue"/>
            <w:shd w:val="clear" w:color="auto" w:fill="D9D9D9"/>
          </w:tcPr>
          <w:p>
            <w:pPr>
              <w:spacing w:after="0"/>
              <w:rPr>
                <w:sz w:val="15"/>
                <w:szCs w:val="15"/>
                <w:color w:val="auto"/>
              </w:rPr>
            </w:pPr>
          </w:p>
        </w:tc>
        <w:tc>
          <w:tcPr>
            <w:tcW w:w="1800" w:type="dxa"/>
            <w:vAlign w:val="bottom"/>
            <w:tcBorders>
              <w:right w:val="single" w:sz="8" w:color="auto"/>
            </w:tcBorders>
            <w:shd w:val="clear" w:color="auto" w:fill="D9D9D9"/>
          </w:tcPr>
          <w:p>
            <w:pPr>
              <w:spacing w:after="0"/>
              <w:rPr>
                <w:sz w:val="15"/>
                <w:szCs w:val="15"/>
                <w:color w:val="auto"/>
              </w:rPr>
            </w:pPr>
          </w:p>
        </w:tc>
        <w:tc>
          <w:tcPr>
            <w:tcW w:w="0" w:type="dxa"/>
            <w:vAlign w:val="bottom"/>
          </w:tcPr>
          <w:p>
            <w:pPr>
              <w:spacing w:after="0"/>
              <w:rPr>
                <w:sz w:val="1"/>
                <w:szCs w:val="1"/>
                <w:color w:val="auto"/>
              </w:rPr>
            </w:pPr>
          </w:p>
        </w:tc>
      </w:tr>
      <w:tr>
        <w:trPr>
          <w:trHeight w:val="104"/>
        </w:trPr>
        <w:tc>
          <w:tcPr>
            <w:tcW w:w="880" w:type="dxa"/>
            <w:vAlign w:val="bottom"/>
            <w:tcBorders>
              <w:left w:val="single" w:sz="8" w:color="auto"/>
              <w:bottom w:val="single" w:sz="8" w:color="auto"/>
            </w:tcBorders>
            <w:shd w:val="clear" w:color="auto" w:fill="D9D9D9"/>
          </w:tcPr>
          <w:p>
            <w:pPr>
              <w:spacing w:after="0"/>
              <w:rPr>
                <w:sz w:val="9"/>
                <w:szCs w:val="9"/>
                <w:color w:val="auto"/>
              </w:rPr>
            </w:pPr>
          </w:p>
        </w:tc>
        <w:tc>
          <w:tcPr>
            <w:tcW w:w="1400" w:type="dxa"/>
            <w:vAlign w:val="bottom"/>
            <w:tcBorders>
              <w:bottom w:val="single" w:sz="8" w:color="auto"/>
            </w:tcBorders>
            <w:shd w:val="clear" w:color="auto" w:fill="D9D9D9"/>
          </w:tcPr>
          <w:p>
            <w:pPr>
              <w:spacing w:after="0"/>
              <w:rPr>
                <w:sz w:val="9"/>
                <w:szCs w:val="9"/>
                <w:color w:val="auto"/>
              </w:rPr>
            </w:pPr>
          </w:p>
        </w:tc>
        <w:tc>
          <w:tcPr>
            <w:tcW w:w="880" w:type="dxa"/>
            <w:vAlign w:val="bottom"/>
            <w:tcBorders>
              <w:bottom w:val="single" w:sz="8" w:color="auto"/>
              <w:right w:val="single" w:sz="8" w:color="auto"/>
            </w:tcBorders>
            <w:shd w:val="clear" w:color="auto" w:fill="D9D9D9"/>
          </w:tcPr>
          <w:p>
            <w:pPr>
              <w:spacing w:after="0"/>
              <w:rPr>
                <w:sz w:val="9"/>
                <w:szCs w:val="9"/>
                <w:color w:val="auto"/>
              </w:rPr>
            </w:pPr>
          </w:p>
        </w:tc>
        <w:tc>
          <w:tcPr>
            <w:tcW w:w="640" w:type="dxa"/>
            <w:vAlign w:val="bottom"/>
            <w:tcBorders>
              <w:bottom w:val="single" w:sz="8" w:color="auto"/>
            </w:tcBorders>
            <w:shd w:val="clear" w:color="auto" w:fill="D9D9D9"/>
          </w:tcPr>
          <w:p>
            <w:pPr>
              <w:spacing w:after="0"/>
              <w:rPr>
                <w:sz w:val="9"/>
                <w:szCs w:val="9"/>
                <w:color w:val="auto"/>
              </w:rPr>
            </w:pPr>
          </w:p>
        </w:tc>
        <w:tc>
          <w:tcPr>
            <w:tcW w:w="500" w:type="dxa"/>
            <w:vAlign w:val="bottom"/>
            <w:tcBorders>
              <w:bottom w:val="single" w:sz="8" w:color="auto"/>
            </w:tcBorders>
            <w:shd w:val="clear" w:color="auto" w:fill="D9D9D9"/>
          </w:tcPr>
          <w:p>
            <w:pPr>
              <w:spacing w:after="0"/>
              <w:rPr>
                <w:sz w:val="9"/>
                <w:szCs w:val="9"/>
                <w:color w:val="auto"/>
              </w:rPr>
            </w:pPr>
          </w:p>
        </w:tc>
        <w:tc>
          <w:tcPr>
            <w:tcW w:w="660" w:type="dxa"/>
            <w:vAlign w:val="bottom"/>
            <w:tcBorders>
              <w:bottom w:val="single" w:sz="8" w:color="auto"/>
              <w:right w:val="single" w:sz="8" w:color="auto"/>
            </w:tcBorders>
            <w:shd w:val="clear" w:color="auto" w:fill="D9D9D9"/>
          </w:tcPr>
          <w:p>
            <w:pPr>
              <w:spacing w:after="0"/>
              <w:rPr>
                <w:sz w:val="9"/>
                <w:szCs w:val="9"/>
                <w:color w:val="auto"/>
              </w:rPr>
            </w:pPr>
          </w:p>
        </w:tc>
        <w:tc>
          <w:tcPr>
            <w:tcW w:w="1780" w:type="dxa"/>
            <w:vAlign w:val="bottom"/>
            <w:tcBorders>
              <w:bottom w:val="single" w:sz="8" w:color="auto"/>
            </w:tcBorders>
            <w:shd w:val="clear" w:color="auto" w:fill="D9D9D9"/>
          </w:tcPr>
          <w:p>
            <w:pPr>
              <w:spacing w:after="0"/>
              <w:rPr>
                <w:sz w:val="9"/>
                <w:szCs w:val="9"/>
                <w:color w:val="auto"/>
              </w:rPr>
            </w:pPr>
          </w:p>
        </w:tc>
        <w:tc>
          <w:tcPr>
            <w:tcW w:w="420" w:type="dxa"/>
            <w:vAlign w:val="bottom"/>
            <w:tcBorders>
              <w:bottom w:val="single" w:sz="8" w:color="auto"/>
            </w:tcBorders>
            <w:shd w:val="clear" w:color="auto" w:fill="D9D9D9"/>
          </w:tcPr>
          <w:p>
            <w:pPr>
              <w:spacing w:after="0"/>
              <w:rPr>
                <w:sz w:val="9"/>
                <w:szCs w:val="9"/>
                <w:color w:val="auto"/>
              </w:rPr>
            </w:pPr>
          </w:p>
        </w:tc>
        <w:tc>
          <w:tcPr>
            <w:tcW w:w="1800" w:type="dxa"/>
            <w:vAlign w:val="bottom"/>
            <w:tcBorders>
              <w:bottom w:val="single" w:sz="8" w:color="auto"/>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278"/>
        </w:trPr>
        <w:tc>
          <w:tcPr>
            <w:tcW w:w="880" w:type="dxa"/>
            <w:vAlign w:val="bottom"/>
            <w:tcBorders>
              <w:left w:val="single" w:sz="8" w:color="auto"/>
            </w:tcBorders>
          </w:tcPr>
          <w:p>
            <w:pPr>
              <w:spacing w:after="0"/>
              <w:rPr>
                <w:sz w:val="24"/>
                <w:szCs w:val="24"/>
                <w:color w:val="auto"/>
              </w:rPr>
            </w:pPr>
          </w:p>
        </w:tc>
        <w:tc>
          <w:tcPr>
            <w:tcW w:w="2280" w:type="dxa"/>
            <w:vAlign w:val="bottom"/>
            <w:tcBorders>
              <w:right w:val="single" w:sz="8" w:color="auto"/>
            </w:tcBorders>
            <w:gridSpan w:val="2"/>
          </w:tcPr>
          <w:p>
            <w:pPr>
              <w:spacing w:after="0"/>
              <w:rPr>
                <w:sz w:val="20"/>
                <w:szCs w:val="20"/>
                <w:color w:val="auto"/>
              </w:rPr>
            </w:pPr>
            <w:r>
              <w:rPr>
                <w:rFonts w:ascii="Arial" w:cs="Arial" w:eastAsia="Arial" w:hAnsi="Arial"/>
                <w:sz w:val="16"/>
                <w:szCs w:val="16"/>
                <w:b w:val="1"/>
                <w:bCs w:val="1"/>
                <w:color w:val="252525"/>
              </w:rPr>
              <w:t>WEISS, GONZALO</w:t>
            </w:r>
          </w:p>
        </w:tc>
        <w:tc>
          <w:tcPr>
            <w:tcW w:w="1800" w:type="dxa"/>
            <w:vAlign w:val="bottom"/>
            <w:tcBorders>
              <w:right w:val="single" w:sz="8" w:color="auto"/>
            </w:tcBorders>
            <w:gridSpan w:val="3"/>
          </w:tcPr>
          <w:p>
            <w:pPr>
              <w:jc w:val="right"/>
              <w:ind w:right="540"/>
              <w:spacing w:after="0"/>
              <w:rPr>
                <w:sz w:val="20"/>
                <w:szCs w:val="20"/>
                <w:color w:val="auto"/>
              </w:rPr>
            </w:pPr>
            <w:r>
              <w:rPr>
                <w:rFonts w:ascii="Arial" w:cs="Arial" w:eastAsia="Arial" w:hAnsi="Arial"/>
                <w:sz w:val="16"/>
                <w:szCs w:val="16"/>
                <w:b w:val="1"/>
                <w:bCs w:val="1"/>
                <w:color w:val="252525"/>
              </w:rPr>
              <w:t>146.913-7</w:t>
            </w:r>
          </w:p>
        </w:tc>
        <w:tc>
          <w:tcPr>
            <w:tcW w:w="4000" w:type="dxa"/>
            <w:vAlign w:val="bottom"/>
            <w:tcBorders>
              <w:right w:val="single" w:sz="8" w:color="auto"/>
            </w:tcBorders>
            <w:gridSpan w:val="3"/>
          </w:tcPr>
          <w:p>
            <w:pPr>
              <w:jc w:val="center"/>
              <w:ind w:right="20"/>
              <w:spacing w:after="0"/>
              <w:rPr>
                <w:sz w:val="20"/>
                <w:szCs w:val="20"/>
                <w:color w:val="auto"/>
              </w:rPr>
            </w:pPr>
            <w:r>
              <w:rPr>
                <w:rFonts w:ascii="Arial" w:cs="Arial" w:eastAsia="Arial" w:hAnsi="Arial"/>
                <w:sz w:val="16"/>
                <w:szCs w:val="16"/>
                <w:b w:val="1"/>
                <w:bCs w:val="1"/>
                <w:i w:val="1"/>
                <w:iCs w:val="1"/>
                <w:color w:val="252525"/>
              </w:rPr>
              <w:t>gonzaweiss@gmail.com</w:t>
            </w:r>
          </w:p>
        </w:tc>
        <w:tc>
          <w:tcPr>
            <w:tcW w:w="0" w:type="dxa"/>
            <w:vAlign w:val="bottom"/>
          </w:tcPr>
          <w:p>
            <w:pPr>
              <w:spacing w:after="0"/>
              <w:rPr>
                <w:sz w:val="1"/>
                <w:szCs w:val="1"/>
                <w:color w:val="auto"/>
              </w:rPr>
            </w:pPr>
          </w:p>
        </w:tc>
      </w:tr>
      <w:tr>
        <w:trPr>
          <w:trHeight w:val="107"/>
        </w:trPr>
        <w:tc>
          <w:tcPr>
            <w:tcW w:w="880" w:type="dxa"/>
            <w:vAlign w:val="bottom"/>
            <w:tcBorders>
              <w:left w:val="single" w:sz="8" w:color="auto"/>
              <w:bottom w:val="single" w:sz="8" w:color="auto"/>
            </w:tcBorders>
          </w:tcPr>
          <w:p>
            <w:pPr>
              <w:spacing w:after="0"/>
              <w:rPr>
                <w:sz w:val="9"/>
                <w:szCs w:val="9"/>
                <w:color w:val="auto"/>
              </w:rPr>
            </w:pPr>
          </w:p>
        </w:tc>
        <w:tc>
          <w:tcPr>
            <w:tcW w:w="1400" w:type="dxa"/>
            <w:vAlign w:val="bottom"/>
            <w:tcBorders>
              <w:bottom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660" w:type="dxa"/>
            <w:vAlign w:val="bottom"/>
            <w:tcBorders>
              <w:bottom w:val="single" w:sz="8" w:color="auto"/>
              <w:right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18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ectPr>
          <w:pgSz w:w="11900" w:h="16838" w:orient="portrait"/>
          <w:cols w:equalWidth="0" w:num="1">
            <w:col w:w="9120"/>
          </w:cols>
          <w:pgMar w:left="1440" w:top="1440" w:right="1346" w:bottom="1440" w:gutter="0" w:footer="0" w:header="0"/>
        </w:sectPr>
      </w:pPr>
    </w:p>
    <w:bookmarkStart w:id="1" w:name="page2"/>
    <w:bookmarkEnd w:id="1"/>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700" w:type="dxa"/>
            <w:vAlign w:val="bottom"/>
            <w:tcBorders>
              <w:right w:val="single" w:sz="8" w:color="D9D9D9"/>
            </w:tcBorders>
            <w:shd w:val="clear" w:color="auto" w:fill="D9D9D9"/>
          </w:tcPr>
          <w:p>
            <w:pPr>
              <w:spacing w:after="0"/>
              <w:rPr>
                <w:sz w:val="10"/>
                <w:szCs w:val="10"/>
                <w:color w:val="auto"/>
              </w:rPr>
            </w:pPr>
          </w:p>
        </w:tc>
        <w:tc>
          <w:tcPr>
            <w:tcW w:w="66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700" w:type="dxa"/>
            <w:vAlign w:val="bottom"/>
            <w:tcBorders>
              <w:bottom w:val="single" w:sz="8" w:color="auto"/>
              <w:right w:val="single" w:sz="8" w:color="D9D9D9"/>
            </w:tcBorders>
            <w:shd w:val="clear" w:color="auto" w:fill="D9D9D9"/>
          </w:tcPr>
          <w:p>
            <w:pPr>
              <w:spacing w:after="0"/>
              <w:rPr>
                <w:sz w:val="8"/>
                <w:szCs w:val="8"/>
                <w:color w:val="auto"/>
              </w:rPr>
            </w:pPr>
          </w:p>
        </w:tc>
        <w:tc>
          <w:tcPr>
            <w:tcW w:w="66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100"/>
              <w:spacing w:after="0"/>
              <w:rPr>
                <w:sz w:val="20"/>
                <w:szCs w:val="20"/>
                <w:color w:val="auto"/>
              </w:rPr>
            </w:pPr>
            <w:r>
              <w:rPr>
                <w:rFonts w:ascii="Arial" w:cs="Arial" w:eastAsia="Arial" w:hAnsi="Arial"/>
                <w:sz w:val="24"/>
                <w:szCs w:val="24"/>
                <w:color w:val="252525"/>
              </w:rPr>
              <w:t>Trabajo Práctico Nº 4</w:t>
            </w: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Difusión y adopción de</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TIC</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700" w:type="dxa"/>
            <w:vAlign w:val="bottom"/>
            <w:tcBorders>
              <w:bottom w:val="single" w:sz="8" w:color="auto"/>
              <w:right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22300" cy="641350"/>
                    </a:xfrm>
                    <a:prstGeom prst="rect">
                      <a:avLst/>
                    </a:prstGeom>
                    <a:noFill/>
                  </pic:spPr>
                </pic:pic>
              </a:graphicData>
            </a:graphic>
          </wp:anchor>
        </w:drawing>
      </w:r>
    </w:p>
    <w:p>
      <w:pPr>
        <w:spacing w:after="0" w:line="241"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1)</w:t>
        <w:tab/>
        <w:t>¿Qué se entiende por difusión y adopción de innovaciones?</w:t>
      </w:r>
    </w:p>
    <w:p>
      <w:pPr>
        <w:spacing w:after="0" w:line="318" w:lineRule="exact"/>
        <w:rPr>
          <w:sz w:val="20"/>
          <w:szCs w:val="20"/>
          <w:color w:val="auto"/>
        </w:rPr>
      </w:pPr>
    </w:p>
    <w:p>
      <w:pPr>
        <w:ind w:left="1800" w:right="900" w:firstLine="696"/>
        <w:spacing w:after="0" w:line="225" w:lineRule="auto"/>
        <w:rPr>
          <w:sz w:val="20"/>
          <w:szCs w:val="20"/>
          <w:color w:val="auto"/>
        </w:rPr>
      </w:pPr>
      <w:r>
        <w:rPr>
          <w:rFonts w:ascii="Calibri" w:cs="Calibri" w:eastAsia="Calibri" w:hAnsi="Calibri"/>
          <w:sz w:val="22"/>
          <w:szCs w:val="22"/>
          <w:color w:val="auto"/>
        </w:rPr>
        <w:t>Se entiende por difusión y adopción de innovaciones al proceso por el cual una innovación es percibida y adoptada por miembros, grupos y/o organizaciones en una cierta comunidad o espacio a lo largo del tiempo.</w:t>
      </w:r>
    </w:p>
    <w:p>
      <w:pPr>
        <w:spacing w:after="0" w:line="271"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2)</w:t>
        <w:tab/>
        <w:t>Diferencie la posición instrumentalista de la determinista.</w:t>
      </w:r>
    </w:p>
    <w:p>
      <w:pPr>
        <w:spacing w:after="0" w:line="318" w:lineRule="exact"/>
        <w:rPr>
          <w:sz w:val="20"/>
          <w:szCs w:val="20"/>
          <w:color w:val="auto"/>
        </w:rPr>
      </w:pPr>
    </w:p>
    <w:p>
      <w:pPr>
        <w:ind w:left="1800" w:right="980" w:firstLine="696"/>
        <w:spacing w:after="0" w:line="225" w:lineRule="auto"/>
        <w:rPr>
          <w:sz w:val="20"/>
          <w:szCs w:val="20"/>
          <w:color w:val="auto"/>
        </w:rPr>
      </w:pPr>
      <w:r>
        <w:rPr>
          <w:rFonts w:ascii="Calibri" w:cs="Calibri" w:eastAsia="Calibri" w:hAnsi="Calibri"/>
          <w:sz w:val="22"/>
          <w:szCs w:val="22"/>
          <w:color w:val="auto"/>
        </w:rPr>
        <w:t>Por un lado la posición instrumentalista tiene como causas principales del cambio son las condiciones sociales y a las aspiraciones humanas, y este cambio es un proceso evolutivo y continuo.</w:t>
      </w:r>
    </w:p>
    <w:p>
      <w:pPr>
        <w:spacing w:after="0" w:line="49" w:lineRule="exact"/>
        <w:rPr>
          <w:sz w:val="20"/>
          <w:szCs w:val="20"/>
          <w:color w:val="auto"/>
        </w:rPr>
      </w:pPr>
    </w:p>
    <w:p>
      <w:pPr>
        <w:ind w:left="1800" w:right="1180" w:firstLine="696"/>
        <w:spacing w:after="0" w:line="218" w:lineRule="auto"/>
        <w:rPr>
          <w:sz w:val="20"/>
          <w:szCs w:val="20"/>
          <w:color w:val="auto"/>
        </w:rPr>
      </w:pPr>
      <w:r>
        <w:rPr>
          <w:rFonts w:ascii="Calibri" w:cs="Calibri" w:eastAsia="Calibri" w:hAnsi="Calibri"/>
          <w:sz w:val="22"/>
          <w:szCs w:val="22"/>
          <w:color w:val="auto"/>
        </w:rPr>
        <w:t>En cambio, la visión determinista ve al cambio tecnológico como una fuerza autónoma y revolucionaria.</w:t>
      </w:r>
    </w:p>
    <w:p>
      <w:pPr>
        <w:spacing w:after="0" w:line="270"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3)</w:t>
        <w:tab/>
        <w:t>Indique los 5 determinantes principales del proceso de difusión según Rogers.</w:t>
      </w:r>
    </w:p>
    <w:p>
      <w:pPr>
        <w:spacing w:after="0" w:line="269" w:lineRule="exact"/>
        <w:rPr>
          <w:sz w:val="20"/>
          <w:szCs w:val="20"/>
          <w:color w:val="auto"/>
        </w:rPr>
      </w:pPr>
    </w:p>
    <w:p>
      <w:pPr>
        <w:jc w:val="center"/>
        <w:ind w:left="1340"/>
        <w:spacing w:after="0"/>
        <w:rPr>
          <w:sz w:val="20"/>
          <w:szCs w:val="20"/>
          <w:color w:val="auto"/>
        </w:rPr>
      </w:pPr>
      <w:r>
        <w:rPr>
          <w:rFonts w:ascii="Calibri" w:cs="Calibri" w:eastAsia="Calibri" w:hAnsi="Calibri"/>
          <w:sz w:val="22"/>
          <w:szCs w:val="22"/>
          <w:color w:val="auto"/>
        </w:rPr>
        <w:t>Los cinco determinantes principales del proceso de difusión según Rogers son:</w:t>
      </w:r>
    </w:p>
    <w:p>
      <w:pPr>
        <w:ind w:left="3200"/>
        <w:spacing w:after="0"/>
        <w:rPr>
          <w:sz w:val="20"/>
          <w:szCs w:val="20"/>
          <w:color w:val="auto"/>
        </w:rPr>
      </w:pPr>
      <w:r>
        <w:rPr>
          <w:rFonts w:ascii="Calibri" w:cs="Calibri" w:eastAsia="Calibri" w:hAnsi="Calibri"/>
          <w:sz w:val="22"/>
          <w:szCs w:val="22"/>
          <w:color w:val="auto"/>
        </w:rPr>
        <w:t>- Las características de la innovación que pueden influenciar su</w:t>
      </w:r>
    </w:p>
    <w:p>
      <w:pPr>
        <w:ind w:left="1800"/>
        <w:spacing w:after="0"/>
        <w:rPr>
          <w:sz w:val="20"/>
          <w:szCs w:val="20"/>
          <w:color w:val="auto"/>
        </w:rPr>
      </w:pPr>
      <w:r>
        <w:rPr>
          <w:rFonts w:ascii="Calibri" w:cs="Calibri" w:eastAsia="Calibri" w:hAnsi="Calibri"/>
          <w:sz w:val="22"/>
          <w:szCs w:val="22"/>
          <w:color w:val="auto"/>
        </w:rPr>
        <w:t>adopción.</w:t>
      </w:r>
    </w:p>
    <w:p>
      <w:pPr>
        <w:spacing w:after="0" w:line="47" w:lineRule="exact"/>
        <w:rPr>
          <w:sz w:val="20"/>
          <w:szCs w:val="20"/>
          <w:color w:val="auto"/>
        </w:rPr>
      </w:pPr>
    </w:p>
    <w:p>
      <w:pPr>
        <w:ind w:left="1800" w:right="1460" w:firstLine="1407"/>
        <w:spacing w:after="0" w:line="218" w:lineRule="auto"/>
        <w:tabs>
          <w:tab w:leader="none" w:pos="3322"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El procedimiento de decisión, que ocurre cuando los individuos consideran adoptar una nueva idea, producto o práctica.</w:t>
      </w:r>
    </w:p>
    <w:p>
      <w:pPr>
        <w:spacing w:after="0" w:line="49" w:lineRule="exact"/>
        <w:rPr>
          <w:rFonts w:ascii="Calibri" w:cs="Calibri" w:eastAsia="Calibri" w:hAnsi="Calibri"/>
          <w:sz w:val="22"/>
          <w:szCs w:val="22"/>
          <w:color w:val="auto"/>
        </w:rPr>
      </w:pPr>
    </w:p>
    <w:p>
      <w:pPr>
        <w:ind w:left="1800" w:right="980" w:firstLine="1407"/>
        <w:spacing w:after="0" w:line="218" w:lineRule="auto"/>
        <w:tabs>
          <w:tab w:leader="none" w:pos="3322"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Las características de los individuos que se muestran de acuerdo con adoptar una innovación.</w:t>
      </w:r>
    </w:p>
    <w:p>
      <w:pPr>
        <w:spacing w:after="0" w:line="50" w:lineRule="exact"/>
        <w:rPr>
          <w:rFonts w:ascii="Calibri" w:cs="Calibri" w:eastAsia="Calibri" w:hAnsi="Calibri"/>
          <w:sz w:val="22"/>
          <w:szCs w:val="22"/>
          <w:color w:val="auto"/>
        </w:rPr>
      </w:pPr>
    </w:p>
    <w:p>
      <w:pPr>
        <w:ind w:left="1800" w:right="1000" w:firstLine="1407"/>
        <w:spacing w:after="0" w:line="218" w:lineRule="auto"/>
        <w:tabs>
          <w:tab w:leader="none" w:pos="3322"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Las consecuencias o beneficios para los individuos y para la sociedad de adoptar una innovación.</w:t>
      </w:r>
    </w:p>
    <w:p>
      <w:pPr>
        <w:ind w:left="3320" w:hanging="113"/>
        <w:spacing w:after="0"/>
        <w:tabs>
          <w:tab w:leader="none" w:pos="3320"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Los canales de comunicación usados en el proceso de adopción.</w:t>
      </w:r>
    </w:p>
    <w:p>
      <w:pPr>
        <w:spacing w:after="0" w:line="269" w:lineRule="exact"/>
        <w:rPr>
          <w:rFonts w:ascii="Calibri" w:cs="Calibri" w:eastAsia="Calibri" w:hAnsi="Calibri"/>
          <w:sz w:val="22"/>
          <w:szCs w:val="22"/>
          <w:color w:val="auto"/>
        </w:rPr>
      </w:pPr>
    </w:p>
    <w:p>
      <w:pPr>
        <w:ind w:left="1800" w:hanging="358"/>
        <w:spacing w:after="0"/>
        <w:tabs>
          <w:tab w:leader="none" w:pos="180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Explique según Rogers las 5 categorías de integrantes de la adopción. Grafique.</w:t>
      </w:r>
    </w:p>
    <w:p>
      <w:pPr>
        <w:spacing w:after="0" w:line="316" w:lineRule="exact"/>
        <w:rPr>
          <w:sz w:val="20"/>
          <w:szCs w:val="20"/>
          <w:color w:val="auto"/>
        </w:rPr>
      </w:pPr>
    </w:p>
    <w:p>
      <w:pPr>
        <w:ind w:left="1800" w:right="1040" w:firstLine="696"/>
        <w:spacing w:after="0" w:line="225" w:lineRule="auto"/>
        <w:rPr>
          <w:sz w:val="20"/>
          <w:szCs w:val="20"/>
          <w:color w:val="auto"/>
        </w:rPr>
      </w:pPr>
      <w:r>
        <w:rPr>
          <w:rFonts w:ascii="Calibri" w:cs="Calibri" w:eastAsia="Calibri" w:hAnsi="Calibri"/>
          <w:sz w:val="22"/>
          <w:szCs w:val="22"/>
          <w:color w:val="auto"/>
        </w:rPr>
        <w:t>Según Rogers existen cinco categorías que integran la adopción los innovadores, los adoptantes tempranos, la mayoría temprana, la mayoría tardía y los rezagados.</w:t>
      </w:r>
    </w:p>
    <w:p>
      <w:pPr>
        <w:spacing w:after="0" w:line="51" w:lineRule="exact"/>
        <w:rPr>
          <w:sz w:val="20"/>
          <w:szCs w:val="20"/>
          <w:color w:val="auto"/>
        </w:rPr>
      </w:pPr>
    </w:p>
    <w:p>
      <w:pPr>
        <w:ind w:left="1800" w:right="1540" w:firstLine="696"/>
        <w:spacing w:after="0" w:line="218" w:lineRule="auto"/>
        <w:rPr>
          <w:sz w:val="20"/>
          <w:szCs w:val="20"/>
          <w:color w:val="auto"/>
        </w:rPr>
      </w:pPr>
      <w:r>
        <w:rPr>
          <w:rFonts w:ascii="Calibri" w:cs="Calibri" w:eastAsia="Calibri" w:hAnsi="Calibri"/>
          <w:sz w:val="22"/>
          <w:szCs w:val="22"/>
          <w:color w:val="auto"/>
        </w:rPr>
        <w:t>Los innovadores son valientes promotores del cambio, son mecanismos importantes de comunicación.</w:t>
      </w:r>
    </w:p>
    <w:p>
      <w:pPr>
        <w:spacing w:after="0" w:line="50" w:lineRule="exact"/>
        <w:rPr>
          <w:sz w:val="20"/>
          <w:szCs w:val="20"/>
          <w:color w:val="auto"/>
        </w:rPr>
      </w:pPr>
    </w:p>
    <w:p>
      <w:pPr>
        <w:ind w:left="1800" w:right="1560" w:firstLine="696"/>
        <w:spacing w:after="0" w:line="218" w:lineRule="auto"/>
        <w:rPr>
          <w:sz w:val="20"/>
          <w:szCs w:val="20"/>
          <w:color w:val="auto"/>
        </w:rPr>
      </w:pPr>
      <w:r>
        <w:rPr>
          <w:rFonts w:ascii="Calibri" w:cs="Calibri" w:eastAsia="Calibri" w:hAnsi="Calibri"/>
          <w:sz w:val="22"/>
          <w:szCs w:val="22"/>
          <w:color w:val="auto"/>
        </w:rPr>
        <w:t>Los adoptantes tempranos, en cambio, son gente respetable, líderes de opinión, nuevas ideas de una manera más cuidadosa.</w:t>
      </w:r>
    </w:p>
    <w:p>
      <w:pPr>
        <w:spacing w:after="0" w:line="50" w:lineRule="exact"/>
        <w:rPr>
          <w:sz w:val="20"/>
          <w:szCs w:val="20"/>
          <w:color w:val="auto"/>
        </w:rPr>
      </w:pPr>
    </w:p>
    <w:p>
      <w:pPr>
        <w:ind w:left="1800" w:right="1020" w:firstLine="696"/>
        <w:spacing w:after="0" w:line="218" w:lineRule="auto"/>
        <w:rPr>
          <w:sz w:val="20"/>
          <w:szCs w:val="20"/>
          <w:color w:val="auto"/>
        </w:rPr>
      </w:pPr>
      <w:r>
        <w:rPr>
          <w:rFonts w:ascii="Calibri" w:cs="Calibri" w:eastAsia="Calibri" w:hAnsi="Calibri"/>
          <w:sz w:val="22"/>
          <w:szCs w:val="22"/>
          <w:color w:val="auto"/>
        </w:rPr>
        <w:t>La mayoría temprana es la gente racional, acepta el cambio más rápidamente que lo hace la gente media.</w:t>
      </w:r>
    </w:p>
    <w:p>
      <w:pPr>
        <w:spacing w:after="0" w:line="47" w:lineRule="exact"/>
        <w:rPr>
          <w:sz w:val="20"/>
          <w:szCs w:val="20"/>
          <w:color w:val="auto"/>
        </w:rPr>
      </w:pPr>
    </w:p>
    <w:p>
      <w:pPr>
        <w:ind w:left="1800" w:right="1560" w:firstLine="696"/>
        <w:spacing w:after="0" w:line="218" w:lineRule="auto"/>
        <w:rPr>
          <w:sz w:val="20"/>
          <w:szCs w:val="20"/>
          <w:color w:val="auto"/>
        </w:rPr>
      </w:pPr>
      <w:r>
        <w:rPr>
          <w:rFonts w:ascii="Calibri" w:cs="Calibri" w:eastAsia="Calibri" w:hAnsi="Calibri"/>
          <w:sz w:val="22"/>
          <w:szCs w:val="22"/>
          <w:color w:val="auto"/>
        </w:rPr>
        <w:t>La mayoría tardía es gente escéptica, utilizará nuevas ideas o productos solamente cuando la mayoría la está utilizando.</w:t>
      </w:r>
    </w:p>
    <w:p>
      <w:pPr>
        <w:spacing w:after="0" w:line="50" w:lineRule="exact"/>
        <w:rPr>
          <w:sz w:val="20"/>
          <w:szCs w:val="20"/>
          <w:color w:val="auto"/>
        </w:rPr>
      </w:pPr>
    </w:p>
    <w:p>
      <w:pPr>
        <w:ind w:left="1800" w:right="1060" w:firstLine="696"/>
        <w:spacing w:after="0" w:line="225" w:lineRule="auto"/>
        <w:rPr>
          <w:sz w:val="20"/>
          <w:szCs w:val="20"/>
          <w:color w:val="auto"/>
        </w:rPr>
      </w:pPr>
      <w:r>
        <w:rPr>
          <w:rFonts w:ascii="Calibri" w:cs="Calibri" w:eastAsia="Calibri" w:hAnsi="Calibri"/>
          <w:sz w:val="22"/>
          <w:szCs w:val="22"/>
          <w:color w:val="auto"/>
        </w:rPr>
        <w:t>Por último, están los rezagados al que pertenecen la gente tradicional, crítica sobre nuevas ideas, las aceptarán cuando se han transformado ya casi en una tradición.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234950</wp:posOffset>
            </wp:positionV>
            <wp:extent cx="5744845" cy="8197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65"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2 de 5</w:t>
      </w:r>
    </w:p>
    <w:p>
      <w:pPr>
        <w:sectPr>
          <w:pgSz w:w="11900" w:h="16838" w:orient="portrait"/>
          <w:cols w:equalWidth="0" w:num="1">
            <w:col w:w="10440"/>
          </w:cols>
          <w:pgMar w:left="620" w:top="964" w:right="846" w:bottom="1440" w:gutter="0" w:footer="0" w:header="0"/>
        </w:sectPr>
      </w:pPr>
    </w:p>
    <w:bookmarkStart w:id="2" w:name="page3"/>
    <w:bookmarkEnd w:id="2"/>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700" w:type="dxa"/>
            <w:vAlign w:val="bottom"/>
            <w:tcBorders>
              <w:right w:val="single" w:sz="8" w:color="D9D9D9"/>
            </w:tcBorders>
            <w:shd w:val="clear" w:color="auto" w:fill="D9D9D9"/>
          </w:tcPr>
          <w:p>
            <w:pPr>
              <w:spacing w:after="0"/>
              <w:rPr>
                <w:sz w:val="10"/>
                <w:szCs w:val="10"/>
                <w:color w:val="auto"/>
              </w:rPr>
            </w:pPr>
          </w:p>
        </w:tc>
        <w:tc>
          <w:tcPr>
            <w:tcW w:w="66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700" w:type="dxa"/>
            <w:vAlign w:val="bottom"/>
            <w:tcBorders>
              <w:bottom w:val="single" w:sz="8" w:color="auto"/>
              <w:right w:val="single" w:sz="8" w:color="D9D9D9"/>
            </w:tcBorders>
            <w:shd w:val="clear" w:color="auto" w:fill="D9D9D9"/>
          </w:tcPr>
          <w:p>
            <w:pPr>
              <w:spacing w:after="0"/>
              <w:rPr>
                <w:sz w:val="8"/>
                <w:szCs w:val="8"/>
                <w:color w:val="auto"/>
              </w:rPr>
            </w:pPr>
          </w:p>
        </w:tc>
        <w:tc>
          <w:tcPr>
            <w:tcW w:w="66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100"/>
              <w:spacing w:after="0"/>
              <w:rPr>
                <w:sz w:val="20"/>
                <w:szCs w:val="20"/>
                <w:color w:val="auto"/>
              </w:rPr>
            </w:pPr>
            <w:r>
              <w:rPr>
                <w:rFonts w:ascii="Arial" w:cs="Arial" w:eastAsia="Arial" w:hAnsi="Arial"/>
                <w:sz w:val="24"/>
                <w:szCs w:val="24"/>
                <w:color w:val="252525"/>
              </w:rPr>
              <w:t>Trabajo Práctico Nº 4</w:t>
            </w: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Difusión y adopción de</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TIC</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700" w:type="dxa"/>
            <w:vAlign w:val="bottom"/>
            <w:tcBorders>
              <w:bottom w:val="single" w:sz="8" w:color="auto"/>
              <w:right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22300" cy="641350"/>
                    </a:xfrm>
                    <a:prstGeom prst="rect">
                      <a:avLst/>
                    </a:prstGeom>
                    <a:noFill/>
                  </pic:spPr>
                </pic:pic>
              </a:graphicData>
            </a:graphic>
          </wp:anchor>
        </w:drawing>
        <w:drawing>
          <wp:anchor simplePos="0" relativeHeight="251657728" behindDoc="1" locked="0" layoutInCell="0" allowOverlap="1">
            <wp:simplePos x="0" y="0"/>
            <wp:positionH relativeFrom="column">
              <wp:posOffset>1143635</wp:posOffset>
            </wp:positionH>
            <wp:positionV relativeFrom="paragraph">
              <wp:posOffset>170815</wp:posOffset>
            </wp:positionV>
            <wp:extent cx="5400675" cy="24955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400675" cy="2495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5)</w:t>
        <w:tab/>
        <w:t>Defina según Rogers a los innovadores y adoptantes temporarios.</w:t>
      </w:r>
    </w:p>
    <w:p>
      <w:pPr>
        <w:spacing w:after="0" w:line="316" w:lineRule="exact"/>
        <w:rPr>
          <w:sz w:val="20"/>
          <w:szCs w:val="20"/>
          <w:color w:val="auto"/>
        </w:rPr>
      </w:pPr>
    </w:p>
    <w:p>
      <w:pPr>
        <w:ind w:left="1800" w:right="860" w:firstLine="696"/>
        <w:spacing w:after="0" w:line="231" w:lineRule="auto"/>
        <w:rPr>
          <w:sz w:val="20"/>
          <w:szCs w:val="20"/>
          <w:color w:val="auto"/>
        </w:rPr>
      </w:pPr>
      <w:r>
        <w:rPr>
          <w:rFonts w:ascii="Calibri" w:cs="Calibri" w:eastAsia="Calibri" w:hAnsi="Calibri"/>
          <w:sz w:val="22"/>
          <w:szCs w:val="22"/>
          <w:color w:val="auto"/>
        </w:rPr>
        <w:t>Los innovadores son arriesgados, atrevidos con alta propensión al riesgo, suelen tener los medios necesarios como para poder absorber las posibles pérdidas de una innovación improductiva. Además, poseen la habilidad para entender y aplicar una innovación compleja. Aceptan la incertidumbre respecto de una innovación y suelen no ser comprendidos por otros individuos o grupos.</w:t>
      </w:r>
    </w:p>
    <w:p>
      <w:pPr>
        <w:spacing w:after="0" w:line="52" w:lineRule="exact"/>
        <w:rPr>
          <w:sz w:val="20"/>
          <w:szCs w:val="20"/>
          <w:color w:val="auto"/>
        </w:rPr>
      </w:pPr>
    </w:p>
    <w:p>
      <w:pPr>
        <w:ind w:left="1800" w:right="1060" w:firstLine="696"/>
        <w:spacing w:after="0" w:line="229" w:lineRule="auto"/>
        <w:rPr>
          <w:sz w:val="20"/>
          <w:szCs w:val="20"/>
          <w:color w:val="auto"/>
        </w:rPr>
      </w:pPr>
      <w:r>
        <w:rPr>
          <w:rFonts w:ascii="Calibri" w:cs="Calibri" w:eastAsia="Calibri" w:hAnsi="Calibri"/>
          <w:sz w:val="22"/>
          <w:szCs w:val="22"/>
          <w:color w:val="auto"/>
        </w:rPr>
        <w:t>En cambio los adoptantes tempranos están integrados al sistema social local, son respetados por sus pares. También tienen un alto grado de liderazgo de opinión entre miembros de sus comunidades, sirven de modelos de comportamiento para otros individuos y son considerados exitosos.</w:t>
      </w:r>
    </w:p>
    <w:p>
      <w:pPr>
        <w:spacing w:after="0" w:line="268"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6)</w:t>
        <w:tab/>
        <w:t>Defina según Rogers las características de los rezagados.</w:t>
      </w:r>
    </w:p>
    <w:p>
      <w:pPr>
        <w:spacing w:after="0" w:line="318" w:lineRule="exact"/>
        <w:rPr>
          <w:sz w:val="20"/>
          <w:szCs w:val="20"/>
          <w:color w:val="auto"/>
        </w:rPr>
      </w:pPr>
    </w:p>
    <w:p>
      <w:pPr>
        <w:ind w:left="1800" w:right="1000" w:firstLine="696"/>
        <w:spacing w:after="0" w:line="229" w:lineRule="auto"/>
        <w:rPr>
          <w:sz w:val="20"/>
          <w:szCs w:val="20"/>
          <w:color w:val="auto"/>
        </w:rPr>
      </w:pPr>
      <w:r>
        <w:rPr>
          <w:rFonts w:ascii="Calibri" w:cs="Calibri" w:eastAsia="Calibri" w:hAnsi="Calibri"/>
          <w:sz w:val="22"/>
          <w:szCs w:val="22"/>
          <w:color w:val="auto"/>
        </w:rPr>
        <w:t>Los rezagados tienen como principales características que no tienen liderazgo de opinión alguno, están más aislados que los otros grupos, su referencia principal es el pasado, son suspicaces respecto de las innovaciones, sus procesos de decisión o cambio son lentos y sus recursos son limitados.</w:t>
      </w:r>
    </w:p>
    <w:p>
      <w:pPr>
        <w:spacing w:after="0" w:line="270"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7)</w:t>
        <w:tab/>
        <w:t>Explique según Rosemberg el rol del aprendizaje en la adopción.</w:t>
      </w:r>
    </w:p>
    <w:p>
      <w:pPr>
        <w:spacing w:after="0" w:line="319" w:lineRule="exact"/>
        <w:rPr>
          <w:sz w:val="20"/>
          <w:szCs w:val="20"/>
          <w:color w:val="auto"/>
        </w:rPr>
      </w:pPr>
    </w:p>
    <w:p>
      <w:pPr>
        <w:ind w:left="1800" w:right="1420" w:firstLine="696"/>
        <w:spacing w:after="0" w:line="217" w:lineRule="auto"/>
        <w:rPr>
          <w:sz w:val="20"/>
          <w:szCs w:val="20"/>
          <w:color w:val="auto"/>
        </w:rPr>
      </w:pPr>
      <w:r>
        <w:rPr>
          <w:rFonts w:ascii="Calibri" w:cs="Calibri" w:eastAsia="Calibri" w:hAnsi="Calibri"/>
          <w:sz w:val="22"/>
          <w:szCs w:val="22"/>
          <w:color w:val="auto"/>
        </w:rPr>
        <w:t>Según Rosemberg el aprendizaje sirve a modo de retroalimentación de la innovación, donde el mismo aprendizaje genera mejoras en la misma.</w:t>
      </w:r>
    </w:p>
    <w:p>
      <w:pPr>
        <w:spacing w:after="0" w:line="318" w:lineRule="exact"/>
        <w:rPr>
          <w:sz w:val="20"/>
          <w:szCs w:val="20"/>
          <w:color w:val="auto"/>
        </w:rPr>
      </w:pPr>
    </w:p>
    <w:p>
      <w:pPr>
        <w:ind w:left="1800" w:right="1000" w:hanging="358"/>
        <w:spacing w:after="0" w:line="218" w:lineRule="auto"/>
        <w:tabs>
          <w:tab w:leader="none" w:pos="180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Explique según HALL, el rol de los costos hundidos en la adopción y porque ésta es un “absorbing state”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296545</wp:posOffset>
            </wp:positionV>
            <wp:extent cx="5744845" cy="8197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3 de 5</w:t>
      </w:r>
    </w:p>
    <w:p>
      <w:pPr>
        <w:sectPr>
          <w:pgSz w:w="11900" w:h="16838" w:orient="portrait"/>
          <w:cols w:equalWidth="0" w:num="1">
            <w:col w:w="10440"/>
          </w:cols>
          <w:pgMar w:left="620" w:top="964" w:right="846" w:bottom="1440" w:gutter="0" w:footer="0" w:header="0"/>
        </w:sectPr>
      </w:pPr>
    </w:p>
    <w:bookmarkStart w:id="3" w:name="page4"/>
    <w:bookmarkEnd w:id="3"/>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700" w:type="dxa"/>
            <w:vAlign w:val="bottom"/>
            <w:tcBorders>
              <w:right w:val="single" w:sz="8" w:color="D9D9D9"/>
            </w:tcBorders>
            <w:shd w:val="clear" w:color="auto" w:fill="D9D9D9"/>
          </w:tcPr>
          <w:p>
            <w:pPr>
              <w:spacing w:after="0"/>
              <w:rPr>
                <w:sz w:val="10"/>
                <w:szCs w:val="10"/>
                <w:color w:val="auto"/>
              </w:rPr>
            </w:pPr>
          </w:p>
        </w:tc>
        <w:tc>
          <w:tcPr>
            <w:tcW w:w="66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700" w:type="dxa"/>
            <w:vAlign w:val="bottom"/>
            <w:tcBorders>
              <w:bottom w:val="single" w:sz="8" w:color="auto"/>
              <w:right w:val="single" w:sz="8" w:color="D9D9D9"/>
            </w:tcBorders>
            <w:shd w:val="clear" w:color="auto" w:fill="D9D9D9"/>
          </w:tcPr>
          <w:p>
            <w:pPr>
              <w:spacing w:after="0"/>
              <w:rPr>
                <w:sz w:val="8"/>
                <w:szCs w:val="8"/>
                <w:color w:val="auto"/>
              </w:rPr>
            </w:pPr>
          </w:p>
        </w:tc>
        <w:tc>
          <w:tcPr>
            <w:tcW w:w="66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100"/>
              <w:spacing w:after="0"/>
              <w:rPr>
                <w:sz w:val="20"/>
                <w:szCs w:val="20"/>
                <w:color w:val="auto"/>
              </w:rPr>
            </w:pPr>
            <w:r>
              <w:rPr>
                <w:rFonts w:ascii="Arial" w:cs="Arial" w:eastAsia="Arial" w:hAnsi="Arial"/>
                <w:sz w:val="24"/>
                <w:szCs w:val="24"/>
                <w:color w:val="252525"/>
              </w:rPr>
              <w:t>Trabajo Práctico Nº 4</w:t>
            </w: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Difusión y adopción de</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TIC</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700" w:type="dxa"/>
            <w:vAlign w:val="bottom"/>
            <w:tcBorders>
              <w:bottom w:val="single" w:sz="8" w:color="auto"/>
              <w:right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22300" cy="641350"/>
                    </a:xfrm>
                    <a:prstGeom prst="rect">
                      <a:avLst/>
                    </a:prstGeom>
                    <a:noFill/>
                  </pic:spPr>
                </pic:pic>
              </a:graphicData>
            </a:graphic>
          </wp:anchor>
        </w:drawing>
      </w:r>
    </w:p>
    <w:p>
      <w:pPr>
        <w:spacing w:after="0" w:line="200" w:lineRule="exact"/>
        <w:rPr>
          <w:sz w:val="20"/>
          <w:szCs w:val="20"/>
          <w:color w:val="auto"/>
        </w:rPr>
      </w:pPr>
    </w:p>
    <w:p>
      <w:pPr>
        <w:spacing w:after="0" w:line="358" w:lineRule="exact"/>
        <w:rPr>
          <w:sz w:val="20"/>
          <w:szCs w:val="20"/>
          <w:color w:val="auto"/>
        </w:rPr>
      </w:pPr>
    </w:p>
    <w:p>
      <w:pPr>
        <w:ind w:left="1800" w:right="880" w:firstLine="696"/>
        <w:spacing w:after="0" w:line="233" w:lineRule="auto"/>
        <w:rPr>
          <w:sz w:val="20"/>
          <w:szCs w:val="20"/>
          <w:color w:val="auto"/>
        </w:rPr>
      </w:pPr>
      <w:r>
        <w:rPr>
          <w:rFonts w:ascii="Calibri" w:cs="Calibri" w:eastAsia="Calibri" w:hAnsi="Calibri"/>
          <w:sz w:val="22"/>
          <w:szCs w:val="22"/>
          <w:color w:val="auto"/>
        </w:rPr>
        <w:t>Según HALL el rol que ocupan los costos hundidos en la adopción es que estos son aquellos iniciales que se consideran en la adopción de una innovación, el costo inicial versus los beneficios de la innovación y son aquellos que son de mayor importancia en las primeras etapas de la adopción pero luego de adoptado ya no importa. En base a esto, surge que está en un “absorbing state”, una vez que se decide el camino de adoptar la innovación no existe un camino atrás, y el gasto se considera como realizado para llegar luego a ser irrelevante.</w:t>
      </w:r>
    </w:p>
    <w:p>
      <w:pPr>
        <w:spacing w:after="0" w:line="323" w:lineRule="exact"/>
        <w:rPr>
          <w:sz w:val="20"/>
          <w:szCs w:val="20"/>
          <w:color w:val="auto"/>
        </w:rPr>
      </w:pPr>
    </w:p>
    <w:p>
      <w:pPr>
        <w:ind w:left="1800" w:right="900" w:hanging="358"/>
        <w:spacing w:after="0" w:line="218" w:lineRule="auto"/>
        <w:tabs>
          <w:tab w:leader="none" w:pos="180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Según Caselli y Coleman cuales son los 4 principales determinantes de adopción de PC, comparando entre diversos países.</w:t>
      </w:r>
    </w:p>
    <w:p>
      <w:pPr>
        <w:spacing w:after="0" w:line="319" w:lineRule="exact"/>
        <w:rPr>
          <w:sz w:val="20"/>
          <w:szCs w:val="20"/>
          <w:color w:val="auto"/>
        </w:rPr>
      </w:pPr>
    </w:p>
    <w:p>
      <w:pPr>
        <w:ind w:left="1800" w:right="980" w:firstLine="696"/>
        <w:spacing w:after="0" w:line="218" w:lineRule="auto"/>
        <w:rPr>
          <w:sz w:val="20"/>
          <w:szCs w:val="20"/>
          <w:color w:val="auto"/>
        </w:rPr>
      </w:pPr>
      <w:r>
        <w:rPr>
          <w:rFonts w:ascii="Calibri" w:cs="Calibri" w:eastAsia="Calibri" w:hAnsi="Calibri"/>
          <w:sz w:val="22"/>
          <w:szCs w:val="22"/>
          <w:color w:val="auto"/>
        </w:rPr>
        <w:t>Los principales determinantes de adopción de PC comparando diversos países para Caselli y Coleman son:</w:t>
      </w:r>
    </w:p>
    <w:p>
      <w:pPr>
        <w:spacing w:after="0" w:line="50" w:lineRule="exact"/>
        <w:rPr>
          <w:sz w:val="20"/>
          <w:szCs w:val="20"/>
          <w:color w:val="auto"/>
        </w:rPr>
      </w:pPr>
    </w:p>
    <w:p>
      <w:pPr>
        <w:ind w:left="1800" w:right="1380" w:firstLine="698"/>
        <w:spacing w:after="0" w:line="225" w:lineRule="auto"/>
        <w:tabs>
          <w:tab w:leader="none" w:pos="2614" w:val="left"/>
        </w:tabs>
        <w:numPr>
          <w:ilvl w:val="1"/>
          <w:numId w:val="4"/>
        </w:numPr>
        <w:rPr>
          <w:rFonts w:ascii="Calibri" w:cs="Calibri" w:eastAsia="Calibri" w:hAnsi="Calibri"/>
          <w:sz w:val="22"/>
          <w:szCs w:val="22"/>
          <w:color w:val="auto"/>
        </w:rPr>
      </w:pPr>
      <w:r>
        <w:rPr>
          <w:rFonts w:ascii="Calibri" w:cs="Calibri" w:eastAsia="Calibri" w:hAnsi="Calibri"/>
          <w:sz w:val="22"/>
          <w:szCs w:val="22"/>
          <w:color w:val="auto"/>
        </w:rPr>
        <w:t>Las fuentes y tipo de comercio con otros países, los países con grandes importaciones manufactureras desde países de la OECD tiene niveles mayores de adopción.</w:t>
      </w:r>
    </w:p>
    <w:p>
      <w:pPr>
        <w:spacing w:after="0" w:line="2" w:lineRule="exact"/>
        <w:rPr>
          <w:rFonts w:ascii="Calibri" w:cs="Calibri" w:eastAsia="Calibri" w:hAnsi="Calibri"/>
          <w:sz w:val="22"/>
          <w:szCs w:val="22"/>
          <w:color w:val="auto"/>
        </w:rPr>
      </w:pPr>
    </w:p>
    <w:p>
      <w:pPr>
        <w:ind w:left="2620" w:hanging="122"/>
        <w:spacing w:after="0"/>
        <w:tabs>
          <w:tab w:leader="none" w:pos="2620" w:val="left"/>
        </w:tabs>
        <w:numPr>
          <w:ilvl w:val="1"/>
          <w:numId w:val="4"/>
        </w:numPr>
        <w:rPr>
          <w:rFonts w:ascii="Calibri" w:cs="Calibri" w:eastAsia="Calibri" w:hAnsi="Calibri"/>
          <w:sz w:val="22"/>
          <w:szCs w:val="22"/>
          <w:color w:val="auto"/>
        </w:rPr>
      </w:pPr>
      <w:r>
        <w:rPr>
          <w:rFonts w:ascii="Calibri" w:cs="Calibri" w:eastAsia="Calibri" w:hAnsi="Calibri"/>
          <w:sz w:val="22"/>
          <w:szCs w:val="22"/>
          <w:color w:val="auto"/>
        </w:rPr>
        <w:t>La protección de derechos de auto.</w:t>
      </w:r>
    </w:p>
    <w:p>
      <w:pPr>
        <w:ind w:left="2620" w:hanging="122"/>
        <w:spacing w:after="0"/>
        <w:tabs>
          <w:tab w:leader="none" w:pos="2620" w:val="left"/>
        </w:tabs>
        <w:numPr>
          <w:ilvl w:val="1"/>
          <w:numId w:val="4"/>
        </w:numPr>
        <w:rPr>
          <w:rFonts w:ascii="Calibri" w:cs="Calibri" w:eastAsia="Calibri" w:hAnsi="Calibri"/>
          <w:sz w:val="22"/>
          <w:szCs w:val="22"/>
          <w:color w:val="auto"/>
        </w:rPr>
      </w:pPr>
      <w:r>
        <w:rPr>
          <w:rFonts w:ascii="Calibri" w:cs="Calibri" w:eastAsia="Calibri" w:hAnsi="Calibri"/>
          <w:sz w:val="22"/>
          <w:szCs w:val="22"/>
          <w:color w:val="auto"/>
        </w:rPr>
        <w:t>Las inversiones por trabajador.</w:t>
      </w:r>
    </w:p>
    <w:p>
      <w:pPr>
        <w:spacing w:after="0" w:line="46" w:lineRule="exact"/>
        <w:rPr>
          <w:rFonts w:ascii="Calibri" w:cs="Calibri" w:eastAsia="Calibri" w:hAnsi="Calibri"/>
          <w:sz w:val="22"/>
          <w:szCs w:val="22"/>
          <w:color w:val="auto"/>
        </w:rPr>
      </w:pPr>
    </w:p>
    <w:p>
      <w:pPr>
        <w:ind w:left="1800" w:right="1120" w:firstLine="698"/>
        <w:spacing w:after="0" w:line="218" w:lineRule="auto"/>
        <w:tabs>
          <w:tab w:leader="none" w:pos="2614" w:val="left"/>
        </w:tabs>
        <w:numPr>
          <w:ilvl w:val="1"/>
          <w:numId w:val="4"/>
        </w:numPr>
        <w:rPr>
          <w:rFonts w:ascii="Calibri" w:cs="Calibri" w:eastAsia="Calibri" w:hAnsi="Calibri"/>
          <w:sz w:val="22"/>
          <w:szCs w:val="22"/>
          <w:color w:val="auto"/>
        </w:rPr>
      </w:pPr>
      <w:r>
        <w:rPr>
          <w:rFonts w:ascii="Calibri" w:cs="Calibri" w:eastAsia="Calibri" w:hAnsi="Calibri"/>
          <w:sz w:val="22"/>
          <w:szCs w:val="22"/>
          <w:color w:val="auto"/>
        </w:rPr>
        <w:t>Una baja proporción en el PBI del Gobierno y de la agricultura, tanto como una gran proporción de las manufacturas en el PBI.</w:t>
      </w:r>
    </w:p>
    <w:p>
      <w:pPr>
        <w:spacing w:after="0" w:line="318" w:lineRule="exact"/>
        <w:rPr>
          <w:rFonts w:ascii="Calibri" w:cs="Calibri" w:eastAsia="Calibri" w:hAnsi="Calibri"/>
          <w:sz w:val="22"/>
          <w:szCs w:val="22"/>
          <w:color w:val="auto"/>
        </w:rPr>
      </w:pPr>
    </w:p>
    <w:p>
      <w:pPr>
        <w:ind w:left="1800" w:right="1620" w:hanging="358"/>
        <w:spacing w:after="0" w:line="218" w:lineRule="auto"/>
        <w:tabs>
          <w:tab w:leader="none" w:pos="180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Explique según Dutton y otros qué es y qué rol juega el hecho de que la PC sea “innovación activa”</w:t>
      </w:r>
    </w:p>
    <w:p>
      <w:pPr>
        <w:spacing w:after="0" w:line="319" w:lineRule="exact"/>
        <w:rPr>
          <w:sz w:val="20"/>
          <w:szCs w:val="20"/>
          <w:color w:val="auto"/>
        </w:rPr>
      </w:pPr>
    </w:p>
    <w:p>
      <w:pPr>
        <w:jc w:val="both"/>
        <w:ind w:left="1800" w:right="1100" w:firstLine="696"/>
        <w:spacing w:after="0" w:line="236" w:lineRule="auto"/>
        <w:rPr>
          <w:sz w:val="20"/>
          <w:szCs w:val="20"/>
          <w:color w:val="auto"/>
        </w:rPr>
      </w:pPr>
      <w:r>
        <w:rPr>
          <w:rFonts w:ascii="Calibri" w:cs="Calibri" w:eastAsia="Calibri" w:hAnsi="Calibri"/>
          <w:sz w:val="21"/>
          <w:szCs w:val="21"/>
          <w:color w:val="auto"/>
        </w:rPr>
        <w:t>Para Dutton la PC es una innovación activa que lo envuelve al usuario en una conducta del tipo problema-resolución. Esa interactividad evidencia la existencia de distintos tipos de usuarios y la evolución que estos sufrieron a lo largo de la historia.</w:t>
      </w:r>
    </w:p>
    <w:p>
      <w:pPr>
        <w:spacing w:after="0" w:line="268"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11) ¿Qué utilidad tiene el modelo Bass, descríbalo y formule describiendo los parámetros?</w:t>
      </w:r>
    </w:p>
    <w:p>
      <w:pPr>
        <w:spacing w:after="0" w:line="318" w:lineRule="exact"/>
        <w:rPr>
          <w:sz w:val="20"/>
          <w:szCs w:val="20"/>
          <w:color w:val="auto"/>
        </w:rPr>
      </w:pPr>
    </w:p>
    <w:p>
      <w:pPr>
        <w:ind w:left="1800" w:right="1140" w:firstLine="696"/>
        <w:spacing w:after="0" w:line="229" w:lineRule="auto"/>
        <w:rPr>
          <w:sz w:val="20"/>
          <w:szCs w:val="20"/>
          <w:color w:val="auto"/>
        </w:rPr>
      </w:pPr>
      <w:r>
        <w:rPr>
          <w:rFonts w:ascii="Calibri" w:cs="Calibri" w:eastAsia="Calibri" w:hAnsi="Calibri"/>
          <w:sz w:val="22"/>
          <w:szCs w:val="22"/>
          <w:color w:val="auto"/>
        </w:rPr>
        <w:t>El modelo Bass sirve como eje de las distintas técnicas de estimación de la demanda de nuevos productos durante las últimas cuatro décadas. Este modelo permite estimar el número de consumidores que adoptarán un nuevo producto a lo largo del tiempo.</w:t>
      </w:r>
    </w:p>
    <w:p>
      <w:pPr>
        <w:spacing w:after="0" w:line="1" w:lineRule="exact"/>
        <w:rPr>
          <w:sz w:val="20"/>
          <w:szCs w:val="20"/>
          <w:color w:val="auto"/>
        </w:rPr>
      </w:pPr>
    </w:p>
    <w:p>
      <w:pPr>
        <w:ind w:left="2500"/>
        <w:spacing w:after="0"/>
        <w:rPr>
          <w:sz w:val="20"/>
          <w:szCs w:val="20"/>
          <w:color w:val="auto"/>
        </w:rPr>
      </w:pPr>
      <w:r>
        <w:rPr>
          <w:rFonts w:ascii="Calibri" w:cs="Calibri" w:eastAsia="Calibri" w:hAnsi="Calibri"/>
          <w:sz w:val="22"/>
          <w:szCs w:val="22"/>
          <w:color w:val="auto"/>
        </w:rPr>
        <w:t>El modelo se define de la siguiente manera:</w:t>
      </w:r>
    </w:p>
    <w:p>
      <w:pPr>
        <w:spacing w:after="0" w:line="1" w:lineRule="exact"/>
        <w:rPr>
          <w:sz w:val="20"/>
          <w:szCs w:val="20"/>
          <w:color w:val="auto"/>
        </w:rPr>
      </w:pPr>
    </w:p>
    <w:p>
      <w:pPr>
        <w:ind w:left="3920"/>
        <w:spacing w:after="0"/>
        <w:rPr>
          <w:sz w:val="20"/>
          <w:szCs w:val="20"/>
          <w:color w:val="auto"/>
        </w:rPr>
      </w:pPr>
      <w:r>
        <w:rPr>
          <w:rFonts w:ascii="Calibri" w:cs="Calibri" w:eastAsia="Calibri" w:hAnsi="Calibri"/>
          <w:sz w:val="22"/>
          <w:szCs w:val="22"/>
          <w:color w:val="auto"/>
        </w:rPr>
        <w:t>S(t)= [p+(q/m) N(t-1)] [m-N(t-1)] (1)</w:t>
      </w:r>
    </w:p>
    <w:p>
      <w:pPr>
        <w:ind w:left="1800"/>
        <w:spacing w:after="0"/>
        <w:rPr>
          <w:sz w:val="20"/>
          <w:szCs w:val="20"/>
          <w:color w:val="auto"/>
        </w:rPr>
      </w:pPr>
      <w:r>
        <w:rPr>
          <w:rFonts w:ascii="Calibri" w:cs="Calibri" w:eastAsia="Calibri" w:hAnsi="Calibri"/>
          <w:sz w:val="22"/>
          <w:szCs w:val="22"/>
          <w:color w:val="auto"/>
        </w:rPr>
        <w:t>donde:</w:t>
      </w:r>
    </w:p>
    <w:p>
      <w:pPr>
        <w:ind w:left="1800"/>
        <w:spacing w:after="0" w:line="238" w:lineRule="auto"/>
        <w:rPr>
          <w:sz w:val="20"/>
          <w:szCs w:val="20"/>
          <w:color w:val="auto"/>
        </w:rPr>
      </w:pPr>
      <w:r>
        <w:rPr>
          <w:rFonts w:ascii="Calibri" w:cs="Calibri" w:eastAsia="Calibri" w:hAnsi="Calibri"/>
          <w:sz w:val="22"/>
          <w:szCs w:val="22"/>
          <w:color w:val="auto"/>
        </w:rPr>
        <w:t>N(t) = número de consumidores que adoptaron el producto en el momento t.</w:t>
      </w:r>
    </w:p>
    <w:p>
      <w:pPr>
        <w:ind w:left="1800"/>
        <w:spacing w:after="0"/>
        <w:rPr>
          <w:sz w:val="20"/>
          <w:szCs w:val="20"/>
          <w:color w:val="auto"/>
        </w:rPr>
      </w:pPr>
      <w:r>
        <w:rPr>
          <w:rFonts w:ascii="Calibri" w:cs="Calibri" w:eastAsia="Calibri" w:hAnsi="Calibri"/>
          <w:sz w:val="22"/>
          <w:szCs w:val="22"/>
          <w:color w:val="auto"/>
        </w:rPr>
        <w:t>S(t) = número de nuevos consumidores que adoptaron el producto en el período t.</w:t>
      </w:r>
    </w:p>
    <w:p>
      <w:pPr>
        <w:ind w:left="1800"/>
        <w:spacing w:after="0"/>
        <w:rPr>
          <w:sz w:val="20"/>
          <w:szCs w:val="20"/>
          <w:color w:val="auto"/>
        </w:rPr>
      </w:pPr>
      <w:r>
        <w:rPr>
          <w:rFonts w:ascii="Calibri" w:cs="Calibri" w:eastAsia="Calibri" w:hAnsi="Calibri"/>
          <w:sz w:val="22"/>
          <w:szCs w:val="22"/>
          <w:color w:val="auto"/>
        </w:rPr>
        <w:t>Consecuentemente:</w:t>
      </w:r>
    </w:p>
    <w:p>
      <w:pPr>
        <w:ind w:left="1800"/>
        <w:spacing w:after="0"/>
        <w:rPr>
          <w:sz w:val="20"/>
          <w:szCs w:val="20"/>
          <w:color w:val="auto"/>
        </w:rPr>
      </w:pPr>
      <w:r>
        <w:rPr>
          <w:rFonts w:ascii="Calibri" w:cs="Calibri" w:eastAsia="Calibri" w:hAnsi="Calibri"/>
          <w:sz w:val="22"/>
          <w:szCs w:val="22"/>
          <w:color w:val="auto"/>
        </w:rPr>
        <w:t>S(t) = N(t) – N (t-1)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404495</wp:posOffset>
            </wp:positionV>
            <wp:extent cx="5744845" cy="8197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4 de 5</w:t>
      </w:r>
    </w:p>
    <w:p>
      <w:pPr>
        <w:sectPr>
          <w:pgSz w:w="11900" w:h="16838" w:orient="portrait"/>
          <w:cols w:equalWidth="0" w:num="1">
            <w:col w:w="10440"/>
          </w:cols>
          <w:pgMar w:left="620" w:top="964" w:right="846" w:bottom="1440" w:gutter="0" w:footer="0" w:header="0"/>
        </w:sectPr>
      </w:pPr>
    </w:p>
    <w:bookmarkStart w:id="4" w:name="page5"/>
    <w:bookmarkEnd w:id="4"/>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700" w:type="dxa"/>
            <w:vAlign w:val="bottom"/>
            <w:tcBorders>
              <w:right w:val="single" w:sz="8" w:color="D9D9D9"/>
            </w:tcBorders>
            <w:shd w:val="clear" w:color="auto" w:fill="D9D9D9"/>
          </w:tcPr>
          <w:p>
            <w:pPr>
              <w:spacing w:after="0"/>
              <w:rPr>
                <w:sz w:val="10"/>
                <w:szCs w:val="10"/>
                <w:color w:val="auto"/>
              </w:rPr>
            </w:pPr>
          </w:p>
        </w:tc>
        <w:tc>
          <w:tcPr>
            <w:tcW w:w="66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700" w:type="dxa"/>
            <w:vAlign w:val="bottom"/>
            <w:tcBorders>
              <w:bottom w:val="single" w:sz="8" w:color="auto"/>
              <w:right w:val="single" w:sz="8" w:color="D9D9D9"/>
            </w:tcBorders>
            <w:shd w:val="clear" w:color="auto" w:fill="D9D9D9"/>
          </w:tcPr>
          <w:p>
            <w:pPr>
              <w:spacing w:after="0"/>
              <w:rPr>
                <w:sz w:val="8"/>
                <w:szCs w:val="8"/>
                <w:color w:val="auto"/>
              </w:rPr>
            </w:pPr>
          </w:p>
        </w:tc>
        <w:tc>
          <w:tcPr>
            <w:tcW w:w="66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100"/>
              <w:spacing w:after="0"/>
              <w:rPr>
                <w:sz w:val="20"/>
                <w:szCs w:val="20"/>
                <w:color w:val="auto"/>
              </w:rPr>
            </w:pPr>
            <w:r>
              <w:rPr>
                <w:rFonts w:ascii="Arial" w:cs="Arial" w:eastAsia="Arial" w:hAnsi="Arial"/>
                <w:sz w:val="24"/>
                <w:szCs w:val="24"/>
                <w:color w:val="252525"/>
              </w:rPr>
              <w:t>Trabajo Práctico Nº 4</w:t>
            </w: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Difusión y adopción de</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TIC</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700" w:type="dxa"/>
            <w:vAlign w:val="bottom"/>
            <w:tcBorders>
              <w:bottom w:val="single" w:sz="8" w:color="auto"/>
              <w:right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22300" cy="641350"/>
                    </a:xfrm>
                    <a:prstGeom prst="rect">
                      <a:avLst/>
                    </a:prstGeom>
                    <a:noFill/>
                  </pic:spPr>
                </pic:pic>
              </a:graphicData>
            </a:graphic>
          </wp:anchor>
        </w:drawing>
      </w:r>
    </w:p>
    <w:p>
      <w:pPr>
        <w:spacing w:after="0" w:line="241" w:lineRule="exact"/>
        <w:rPr>
          <w:sz w:val="20"/>
          <w:szCs w:val="20"/>
          <w:color w:val="auto"/>
        </w:rPr>
      </w:pPr>
    </w:p>
    <w:p>
      <w:pPr>
        <w:ind w:left="1800"/>
        <w:spacing w:after="0"/>
        <w:rPr>
          <w:sz w:val="20"/>
          <w:szCs w:val="20"/>
          <w:color w:val="auto"/>
        </w:rPr>
      </w:pPr>
      <w:r>
        <w:rPr>
          <w:rFonts w:ascii="Calibri" w:cs="Calibri" w:eastAsia="Calibri" w:hAnsi="Calibri"/>
          <w:sz w:val="22"/>
          <w:szCs w:val="22"/>
          <w:color w:val="auto"/>
        </w:rPr>
        <w:t>Los parámetros del modelo son:</w:t>
      </w:r>
    </w:p>
    <w:p>
      <w:pPr>
        <w:ind w:left="1800"/>
        <w:spacing w:after="0"/>
        <w:rPr>
          <w:sz w:val="20"/>
          <w:szCs w:val="20"/>
          <w:color w:val="auto"/>
        </w:rPr>
      </w:pPr>
      <w:r>
        <w:rPr>
          <w:rFonts w:ascii="Calibri" w:cs="Calibri" w:eastAsia="Calibri" w:hAnsi="Calibri"/>
          <w:sz w:val="22"/>
          <w:szCs w:val="22"/>
          <w:color w:val="auto"/>
        </w:rPr>
        <w:t>m: Máximo número de consumidores que pueden adquirir el producto.</w:t>
      </w:r>
    </w:p>
    <w:p>
      <w:pPr>
        <w:spacing w:after="0" w:line="318" w:lineRule="exact"/>
        <w:rPr>
          <w:sz w:val="20"/>
          <w:szCs w:val="20"/>
          <w:color w:val="auto"/>
        </w:rPr>
      </w:pPr>
    </w:p>
    <w:p>
      <w:pPr>
        <w:ind w:left="1800" w:right="1000" w:firstLine="2"/>
        <w:spacing w:after="0" w:line="218" w:lineRule="auto"/>
        <w:tabs>
          <w:tab w:leader="none" w:pos="2025"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coeficiente de innovación. Es la probabilidad que un innovador compre o adopte el producto en el período “t”</w:t>
      </w:r>
    </w:p>
    <w:p>
      <w:pPr>
        <w:spacing w:after="0" w:line="318" w:lineRule="exact"/>
        <w:rPr>
          <w:rFonts w:ascii="Calibri" w:cs="Calibri" w:eastAsia="Calibri" w:hAnsi="Calibri"/>
          <w:sz w:val="22"/>
          <w:szCs w:val="22"/>
          <w:color w:val="auto"/>
        </w:rPr>
      </w:pPr>
    </w:p>
    <w:p>
      <w:pPr>
        <w:ind w:left="1800" w:right="880" w:firstLine="2"/>
        <w:spacing w:after="0" w:line="234" w:lineRule="auto"/>
        <w:tabs>
          <w:tab w:leader="none" w:pos="2026"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coeficiente de imitación. Es la probabilidad que un imitador adopte el nuevo producto. Este coeficiente captura el efecto del boca en boca, es decir, la comunicación que hay entre los innovadores y los imitadores por la cual estos últimos aprenden y copian a los 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5182870</wp:posOffset>
            </wp:positionV>
            <wp:extent cx="5744845" cy="8197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5 de 5</w:t>
      </w:r>
    </w:p>
    <w:sectPr>
      <w:pgSz w:w="11900" w:h="16838" w:orient="portrait"/>
      <w:cols w:equalWidth="0" w:num="1">
        <w:col w:w="10440"/>
      </w:cols>
      <w:pgMar w:left="620" w:top="964" w:right="8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3"/>
    </w:lvl>
    <w:lvl w:ilvl="1">
      <w:lvlJc w:val="left"/>
      <w:lvlText w:val="-"/>
      <w:numFmt w:val="bullet"/>
      <w:start w:val="1"/>
    </w:lvl>
  </w:abstractNum>
  <w:abstractNum w:abstractNumId="1">
    <w:nsid w:val="2AE8944A"/>
    <w:multiLevelType w:val="hybridMultilevel"/>
    <w:lvl w:ilvl="0">
      <w:lvlJc w:val="left"/>
      <w:lvlText w:val="%1)"/>
      <w:numFmt w:val="decimal"/>
      <w:start w:val="8"/>
    </w:lvl>
  </w:abstractNum>
  <w:abstractNum w:abstractNumId="2">
    <w:nsid w:val="625558EC"/>
    <w:multiLevelType w:val="hybridMultilevel"/>
    <w:lvl w:ilvl="0">
      <w:lvlJc w:val="left"/>
      <w:lvlText w:val="%1)"/>
      <w:numFmt w:val="decimal"/>
      <w:start w:val="9"/>
    </w:lvl>
  </w:abstractNum>
  <w:abstractNum w:abstractNumId="3">
    <w:nsid w:val="238E1F29"/>
    <w:multiLevelType w:val="hybridMultilevel"/>
    <w:lvl w:ilvl="0">
      <w:lvlJc w:val="left"/>
      <w:lvlText w:val="%1)"/>
      <w:numFmt w:val="decimal"/>
      <w:start w:val="9"/>
    </w:lvl>
    <w:lvl w:ilvl="1">
      <w:lvlJc w:val="left"/>
      <w:lvlText w:val="-"/>
      <w:numFmt w:val="bullet"/>
      <w:start w:val="1"/>
    </w:lvl>
  </w:abstractNum>
  <w:abstractNum w:abstractNumId="4">
    <w:nsid w:val="46E87CCD"/>
    <w:multiLevelType w:val="hybridMultilevel"/>
    <w:lvl w:ilvl="0">
      <w:lvlJc w:val="left"/>
      <w:lvlText w:val="%1:"/>
      <w:numFmt w:val="lowerLetter"/>
      <w:start w:val="16"/>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2020-07-16T09:40:57Z</dcterms:created>
  <dcterms:modified xsi:type="dcterms:W3CDTF">2020-07-16T09:40:57Z</dcterms:modified>
</cp:coreProperties>
</file>