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85725</wp:posOffset>
            </wp:positionV>
            <wp:extent cx="1657350" cy="1381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381125"/>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1695450</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Cátedra:</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1 – WIKINOMICS</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spacing w:after="0"/>
        <w:rPr>
          <w:sz w:val="20"/>
          <w:szCs w:val="20"/>
          <w:color w:val="auto"/>
        </w:rPr>
      </w:pPr>
      <w:r>
        <w:rPr>
          <w:rFonts w:ascii="Arial" w:cs="Arial" w:eastAsia="Arial" w:hAnsi="Arial"/>
          <w:sz w:val="24"/>
          <w:szCs w:val="24"/>
          <w:b w:val="1"/>
          <w:bCs w:val="1"/>
          <w:i w:val="1"/>
          <w:iCs w:val="1"/>
          <w:color w:val="auto"/>
        </w:rPr>
        <w:t>1</w:t>
      </w:r>
    </w:p>
    <w:p>
      <w:pPr>
        <w:sectPr>
          <w:pgSz w:w="12240" w:h="15840" w:orient="portrait"/>
          <w:cols w:equalWidth="0" w:num="1">
            <w:col w:w="9360"/>
          </w:cols>
          <w:pgMar w:left="1440" w:top="1440" w:right="1440" w:bottom="515" w:gutter="0" w:footer="0" w:header="0"/>
        </w:sectPr>
      </w:pPr>
    </w:p>
    <w:bookmarkStart w:id="1" w:name="page2"/>
    <w:bookmarkEnd w:id="1"/>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jc w:val="center"/>
        <w:ind w:right="3500"/>
        <w:spacing w:after="0"/>
        <w:rPr>
          <w:sz w:val="20"/>
          <w:szCs w:val="20"/>
          <w:color w:val="auto"/>
        </w:rPr>
      </w:pPr>
      <w:r>
        <w:rPr>
          <w:rFonts w:ascii="Verdana" w:cs="Verdana" w:eastAsia="Verdana" w:hAnsi="Verdana"/>
          <w:sz w:val="20"/>
          <w:szCs w:val="20"/>
          <w:color w:val="auto"/>
        </w:rPr>
        <w:t>TP N° 1 – WIKINOMICS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2762250</wp:posOffset>
            </wp:positionH>
            <wp:positionV relativeFrom="paragraph">
              <wp:posOffset>-129540</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60" w:space="720"/>
            <w:col w:w="588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8"/>
          <w:szCs w:val="28"/>
          <w:color w:val="434343"/>
        </w:rPr>
        <w:t>Pregunta 1: Desarrolle el concepto “producción entre iguales”.</w:t>
      </w:r>
    </w:p>
    <w:p>
      <w:pPr>
        <w:spacing w:after="0" w:line="150" w:lineRule="exact"/>
        <w:rPr>
          <w:sz w:val="20"/>
          <w:szCs w:val="20"/>
          <w:color w:val="auto"/>
        </w:rPr>
      </w:pPr>
    </w:p>
    <w:p>
      <w:pPr>
        <w:ind w:right="360"/>
        <w:spacing w:after="0" w:line="282" w:lineRule="auto"/>
        <w:rPr>
          <w:sz w:val="20"/>
          <w:szCs w:val="20"/>
          <w:color w:val="auto"/>
        </w:rPr>
      </w:pPr>
      <w:r>
        <w:rPr>
          <w:rFonts w:ascii="Arial" w:cs="Arial" w:eastAsia="Arial" w:hAnsi="Arial"/>
          <w:sz w:val="20"/>
          <w:szCs w:val="20"/>
          <w:color w:val="auto"/>
        </w:rPr>
        <w:t>Está naciendo una nueva forma de organización horizontal que compite con la empresa jerárquica en cuanto a la capacidad de crear productos y servicios basados en la información y en algunos casos, objetos físicos.</w:t>
      </w:r>
    </w:p>
    <w:p>
      <w:pPr>
        <w:ind w:right="80"/>
        <w:spacing w:after="0" w:line="281" w:lineRule="auto"/>
        <w:rPr>
          <w:sz w:val="20"/>
          <w:szCs w:val="20"/>
          <w:color w:val="auto"/>
        </w:rPr>
      </w:pPr>
      <w:r>
        <w:rPr>
          <w:rFonts w:ascii="Arial" w:cs="Arial" w:eastAsia="Arial" w:hAnsi="Arial"/>
          <w:sz w:val="20"/>
          <w:szCs w:val="20"/>
          <w:color w:val="auto"/>
        </w:rPr>
        <w:t>La producción entre iguales es la producción de bienes y servicios de modo muy tangible y continuado a través de la conexión de iguales por medio de redes flexibles. El avance en las tecnologías de la información pone al alcance de todos los instrumentos necesarios para colaborar, crear valor y competir. Hay un nuevo esfuerzo conjunto y colaboración autoorganizada entre numerosas personas, que producen nuevos bienes y servicios dinámicos que compiten con los ofrecidos por las empresas más potentes y con mayor financiación del mundo. Esta nueva forma de innovación y creación de valor se denomina “producción entre iguales”.</w:t>
      </w:r>
    </w:p>
    <w:p>
      <w:pPr>
        <w:spacing w:after="0" w:line="5" w:lineRule="exact"/>
        <w:rPr>
          <w:sz w:val="20"/>
          <w:szCs w:val="20"/>
          <w:color w:val="auto"/>
        </w:rPr>
      </w:pPr>
    </w:p>
    <w:p>
      <w:pPr>
        <w:ind w:right="180"/>
        <w:spacing w:after="0" w:line="323" w:lineRule="auto"/>
        <w:rPr>
          <w:sz w:val="20"/>
          <w:szCs w:val="20"/>
          <w:color w:val="auto"/>
        </w:rPr>
      </w:pPr>
      <w:r>
        <w:rPr>
          <w:rFonts w:ascii="Arial" w:cs="Arial" w:eastAsia="Arial" w:hAnsi="Arial"/>
          <w:sz w:val="20"/>
          <w:szCs w:val="20"/>
          <w:color w:val="auto"/>
        </w:rPr>
        <w:t>Estos individuos y empresas u organizaciones, comparten recursos, ideas, experiencia y conocimientos para potenciar la innovación y el crecimiento de sus sectores.</w:t>
      </w:r>
    </w:p>
    <w:p>
      <w:pPr>
        <w:spacing w:after="0" w:line="200" w:lineRule="exact"/>
        <w:rPr>
          <w:sz w:val="20"/>
          <w:szCs w:val="20"/>
          <w:color w:val="auto"/>
        </w:rPr>
      </w:pPr>
    </w:p>
    <w:p>
      <w:pPr>
        <w:spacing w:after="0" w:line="298" w:lineRule="exact"/>
        <w:rPr>
          <w:sz w:val="20"/>
          <w:szCs w:val="20"/>
          <w:color w:val="auto"/>
        </w:rPr>
      </w:pPr>
    </w:p>
    <w:p>
      <w:pPr>
        <w:ind w:right="160"/>
        <w:spacing w:after="0" w:line="321" w:lineRule="auto"/>
        <w:rPr>
          <w:sz w:val="20"/>
          <w:szCs w:val="20"/>
          <w:color w:val="auto"/>
        </w:rPr>
      </w:pPr>
      <w:r>
        <w:rPr>
          <w:rFonts w:ascii="Arial" w:cs="Arial" w:eastAsia="Arial" w:hAnsi="Arial"/>
          <w:sz w:val="28"/>
          <w:szCs w:val="28"/>
          <w:color w:val="434343"/>
        </w:rPr>
        <w:t>Pregunta 2: Enuncie y desarrolle las 4 ideas o componentes en las que se basa la wikinomía. Dé un ejemplo de cada una.</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El nuevo arte y la nueva ciencia de wikinomía se fundamenta en cuatro potentes ideas novedosas:</w:t>
      </w:r>
    </w:p>
    <w:p>
      <w:pPr>
        <w:spacing w:after="0" w:line="41" w:lineRule="exact"/>
        <w:rPr>
          <w:sz w:val="20"/>
          <w:szCs w:val="20"/>
          <w:color w:val="auto"/>
        </w:rPr>
      </w:pPr>
    </w:p>
    <w:p>
      <w:pPr>
        <w:spacing w:after="0"/>
        <w:rPr>
          <w:sz w:val="20"/>
          <w:szCs w:val="20"/>
          <w:color w:val="auto"/>
        </w:rPr>
      </w:pPr>
      <w:r>
        <w:rPr>
          <w:rFonts w:ascii="Arial" w:cs="Arial" w:eastAsia="Arial" w:hAnsi="Arial"/>
          <w:sz w:val="20"/>
          <w:szCs w:val="20"/>
          <w:color w:val="auto"/>
        </w:rPr>
        <w:t>apertura, interacción entre iguales, el compartir y la actuación global.</w:t>
      </w:r>
    </w:p>
    <w:p>
      <w:pPr>
        <w:spacing w:after="0" w:line="309" w:lineRule="exact"/>
        <w:rPr>
          <w:sz w:val="20"/>
          <w:szCs w:val="20"/>
          <w:color w:val="auto"/>
        </w:rPr>
      </w:pPr>
    </w:p>
    <w:p>
      <w:pPr>
        <w:ind w:right="100"/>
        <w:spacing w:after="0" w:line="308" w:lineRule="auto"/>
        <w:rPr>
          <w:sz w:val="20"/>
          <w:szCs w:val="20"/>
          <w:color w:val="auto"/>
        </w:rPr>
      </w:pPr>
      <w:r>
        <w:rPr>
          <w:rFonts w:ascii="Arial" w:cs="Arial" w:eastAsia="Arial" w:hAnsi="Arial"/>
          <w:sz w:val="19"/>
          <w:szCs w:val="19"/>
          <w:color w:val="auto"/>
        </w:rPr>
        <w:t>Apertura: Consiste en una nueva tendencia donde las personas e instituciones que interactúan con las empresas están consiguiendo un acceso sin precedentes a la información importante sobre el comportamiento, las operaciones y los resultados corporativos. Se comunica la información que antes era secreto corporativo a socios, clientes, accionistas y otros empleados. La transparencia forma parte de esta nueva tendencia, ya que brinda seguridad a los interesados. Un ejemplo de este caso puede ser el MIT que brinda cursos gratuitos, donde cualquier usuario puede inscribirse sin pagar por la matrícula.</w:t>
      </w:r>
    </w:p>
    <w:p>
      <w:pPr>
        <w:spacing w:after="0" w:line="208" w:lineRule="exact"/>
        <w:rPr>
          <w:sz w:val="20"/>
          <w:szCs w:val="20"/>
          <w:color w:val="auto"/>
        </w:rPr>
      </w:pPr>
    </w:p>
    <w:p>
      <w:pPr>
        <w:ind w:right="140"/>
        <w:spacing w:after="0" w:line="308" w:lineRule="auto"/>
        <w:rPr>
          <w:sz w:val="20"/>
          <w:szCs w:val="20"/>
          <w:color w:val="auto"/>
        </w:rPr>
      </w:pPr>
      <w:r>
        <w:rPr>
          <w:rFonts w:ascii="Arial" w:cs="Arial" w:eastAsia="Arial" w:hAnsi="Arial"/>
          <w:sz w:val="19"/>
          <w:szCs w:val="19"/>
          <w:color w:val="auto"/>
        </w:rPr>
        <w:t>Interacción entre iguales: Es un concepto relacionado con la producción entre iguales, donde existe una organización horizontal que compite con la empresa jerárquica en cuanto a la capacidad de crear productos o servicios. Las personas cada vez se autoorganizan más para diseñar bienes o servicios, crear conocimiento o, sencillamente producir experiencias dinámicas y compartidas. Linux es el ejemplo más claro de este caso que, consta de un sistema operativos de código abierto donde diferentes personas de diferentes partes del mundo introducen cambios y mejoras colaborando a voluntad.</w:t>
      </w:r>
    </w:p>
    <w:p>
      <w:pPr>
        <w:spacing w:after="0" w:line="208" w:lineRule="exact"/>
        <w:rPr>
          <w:sz w:val="20"/>
          <w:szCs w:val="20"/>
          <w:color w:val="auto"/>
        </w:rPr>
      </w:pPr>
    </w:p>
    <w:p>
      <w:pPr>
        <w:ind w:right="60"/>
        <w:spacing w:after="0" w:line="292" w:lineRule="auto"/>
        <w:rPr>
          <w:sz w:val="20"/>
          <w:szCs w:val="20"/>
          <w:color w:val="auto"/>
        </w:rPr>
      </w:pPr>
      <w:r>
        <w:rPr>
          <w:rFonts w:ascii="Arial" w:cs="Arial" w:eastAsia="Arial" w:hAnsi="Arial"/>
          <w:sz w:val="20"/>
          <w:szCs w:val="20"/>
          <w:color w:val="auto"/>
        </w:rPr>
        <w:t>Compartir: En la nueva era digital, es fácil compartir las creaciones digitales, re-mezclarlas y asignarles nuevas funciones, e igual de fácil es reproducirlas. Compartir refiere a justamente eliminar las restricciones intelectuales y usar más libremente la información y productos de este tipo. Open Office, un software gratuito y de libre distribución, que sirve para crear documentos de texto, hojas de cálculo, o presentaciones entre otras cosas es un ejemplo de eso. Ya que los creadores no solo lo distribuyen</w:t>
      </w:r>
    </w:p>
    <w:p>
      <w:pPr>
        <w:spacing w:after="0" w:line="273"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2</w:t>
      </w:r>
    </w:p>
    <w:p>
      <w:pPr>
        <w:sectPr>
          <w:pgSz w:w="12240" w:h="15840" w:orient="portrait"/>
          <w:cols w:equalWidth="0" w:num="1">
            <w:col w:w="9360"/>
          </w:cols>
          <w:pgMar w:left="1440" w:top="468" w:right="1440" w:bottom="515" w:gutter="0" w:footer="0" w:header="0"/>
          <w:type w:val="continuous"/>
        </w:sectPr>
      </w:pPr>
    </w:p>
    <w:bookmarkStart w:id="2" w:name="page3"/>
    <w:bookmarkEnd w:id="2"/>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jc w:val="center"/>
        <w:ind w:right="3500"/>
        <w:spacing w:after="0"/>
        <w:rPr>
          <w:sz w:val="20"/>
          <w:szCs w:val="20"/>
          <w:color w:val="auto"/>
        </w:rPr>
      </w:pPr>
      <w:r>
        <w:rPr>
          <w:rFonts w:ascii="Verdana" w:cs="Verdana" w:eastAsia="Verdana" w:hAnsi="Verdana"/>
          <w:sz w:val="20"/>
          <w:szCs w:val="20"/>
          <w:color w:val="auto"/>
        </w:rPr>
        <w:t>TP N° 1 – WIKINOMICS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2762250</wp:posOffset>
            </wp:positionH>
            <wp:positionV relativeFrom="paragraph">
              <wp:posOffset>-129540</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60" w:space="720"/>
            <w:col w:w="5880"/>
          </w:cols>
          <w:pgMar w:left="1440" w:top="468" w:right="1440" w:bottom="515" w:gutter="0" w:footer="0" w:header="0"/>
        </w:sect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color w:val="auto"/>
        </w:rPr>
        <w:t>libremente, sino que comparten su código fuente para ayudar a mejorar el producto.</w:t>
      </w:r>
    </w:p>
    <w:p>
      <w:pPr>
        <w:spacing w:after="0" w:line="310" w:lineRule="exact"/>
        <w:rPr>
          <w:sz w:val="20"/>
          <w:szCs w:val="20"/>
          <w:color w:val="auto"/>
        </w:rPr>
      </w:pPr>
    </w:p>
    <w:p>
      <w:pPr>
        <w:ind w:right="100"/>
        <w:spacing w:after="0" w:line="288" w:lineRule="auto"/>
        <w:rPr>
          <w:sz w:val="20"/>
          <w:szCs w:val="20"/>
          <w:color w:val="auto"/>
        </w:rPr>
      </w:pPr>
      <w:r>
        <w:rPr>
          <w:rFonts w:ascii="Arial" w:cs="Arial" w:eastAsia="Arial" w:hAnsi="Arial"/>
          <w:sz w:val="20"/>
          <w:szCs w:val="20"/>
          <w:color w:val="auto"/>
        </w:rPr>
        <w:t>Actuación global: La nueva globalización es causante de y, al mismo tiempo, está causada por los cambios en la colaboración y en la manera que tienen las empresas de organizar la capacidad de innovar y producir cosas. La actuación global tiene que ver con las alianzas mundiales, los mercados de capital humano y las comunidades de producción entre iguales. Los individuos y empresas eliminan las fronteras y restricciones geográficas para actuar en conjunto. Un ejemplo de esto son empresas como Google o Facebook que si bien tienen sus sede central en EEUU, tienen una sedes distribuidas por todo el mundo para estar más integradas.</w:t>
      </w:r>
    </w:p>
    <w:p>
      <w:pPr>
        <w:spacing w:after="0" w:line="200" w:lineRule="exact"/>
        <w:rPr>
          <w:sz w:val="20"/>
          <w:szCs w:val="20"/>
          <w:color w:val="auto"/>
        </w:rPr>
      </w:pPr>
    </w:p>
    <w:p>
      <w:pPr>
        <w:spacing w:after="0" w:line="336" w:lineRule="exact"/>
        <w:rPr>
          <w:sz w:val="20"/>
          <w:szCs w:val="20"/>
          <w:color w:val="auto"/>
        </w:rPr>
      </w:pPr>
    </w:p>
    <w:p>
      <w:pPr>
        <w:ind w:right="1700"/>
        <w:spacing w:after="0" w:line="321" w:lineRule="auto"/>
        <w:rPr>
          <w:sz w:val="20"/>
          <w:szCs w:val="20"/>
          <w:color w:val="auto"/>
        </w:rPr>
      </w:pPr>
      <w:r>
        <w:rPr>
          <w:rFonts w:ascii="Arial" w:cs="Arial" w:eastAsia="Arial" w:hAnsi="Arial"/>
          <w:sz w:val="28"/>
          <w:szCs w:val="28"/>
          <w:color w:val="434343"/>
        </w:rPr>
        <w:t>Pregunta 3: Explique y dé ejemplos de la “emergencia”, como consecuencia de la colaboración masiva.</w:t>
      </w:r>
    </w:p>
    <w:p>
      <w:pPr>
        <w:spacing w:after="0" w:line="1" w:lineRule="exact"/>
        <w:rPr>
          <w:sz w:val="20"/>
          <w:szCs w:val="20"/>
          <w:color w:val="auto"/>
        </w:rPr>
      </w:pPr>
    </w:p>
    <w:p>
      <w:pPr>
        <w:ind w:right="20"/>
        <w:spacing w:after="0" w:line="288" w:lineRule="auto"/>
        <w:rPr>
          <w:sz w:val="20"/>
          <w:szCs w:val="20"/>
          <w:color w:val="auto"/>
        </w:rPr>
      </w:pPr>
      <w:r>
        <w:rPr>
          <w:rFonts w:ascii="Arial" w:cs="Arial" w:eastAsia="Arial" w:hAnsi="Arial"/>
          <w:sz w:val="20"/>
          <w:szCs w:val="20"/>
          <w:color w:val="auto"/>
        </w:rPr>
        <w:t>La emergencia se define como la creación de atributos, estructuras y capacidades que no son inherentes a ningún nodo de la red por sí solo. El precio constituye el mejor ejemplo de la característica emergente: en un mercado competitivo ninguna empresa fija el precio, sino que lo hacen todas en forma colectiva. El valor radica en las conexiones y no en los nodos separados. Como se mencionó anteriormente, un ejemplo de este concepto es el precio, ya que no es determinado por una sola empresa sino que se hace de forma global. De esta misma forma, la wikipedia, que su valor radica en que está nutrida por la colaboración de los diferentes usuarios y editores en todo el mundo.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right="720"/>
        <w:spacing w:after="0" w:line="311" w:lineRule="auto"/>
        <w:rPr>
          <w:sz w:val="20"/>
          <w:szCs w:val="20"/>
          <w:color w:val="auto"/>
        </w:rPr>
      </w:pPr>
      <w:r>
        <w:rPr>
          <w:rFonts w:ascii="Arial" w:cs="Arial" w:eastAsia="Arial" w:hAnsi="Arial"/>
          <w:sz w:val="28"/>
          <w:szCs w:val="28"/>
          <w:color w:val="434343"/>
        </w:rPr>
        <w:t>Pregunta 4: ¿Qué enunciaba la ley de Coase originalmente? Y ahora, ¿qué implicancias tiene? Explique qué y cuáles son los costos de transacción.</w:t>
      </w:r>
    </w:p>
    <w:p>
      <w:pPr>
        <w:spacing w:after="0" w:line="1" w:lineRule="exact"/>
        <w:rPr>
          <w:sz w:val="20"/>
          <w:szCs w:val="20"/>
          <w:color w:val="auto"/>
        </w:rPr>
      </w:pPr>
    </w:p>
    <w:p>
      <w:pPr>
        <w:ind w:right="340"/>
        <w:spacing w:after="0" w:line="281" w:lineRule="auto"/>
        <w:rPr>
          <w:sz w:val="20"/>
          <w:szCs w:val="20"/>
          <w:color w:val="auto"/>
        </w:rPr>
      </w:pPr>
      <w:r>
        <w:rPr>
          <w:rFonts w:ascii="Arial" w:cs="Arial" w:eastAsia="Arial" w:hAnsi="Arial"/>
          <w:sz w:val="20"/>
          <w:szCs w:val="20"/>
          <w:color w:val="auto"/>
        </w:rPr>
        <w:t>Originalmente, la ley de Coase sostenia que “una empresa tenderá a expandirse hasta que los costes que supone organizar una transacción adicional dentro de la empresa igualen los costes que implica desempeñar esa misma función en el mercado abierto. Cuando salga más barato realizar una transacción dentro de la empresa, es recomendable hacerlo así; en cambio sí resulta más económico salir al mercado, no hay que intentar hacerlo de forma interna.”</w:t>
      </w:r>
    </w:p>
    <w:p>
      <w:pPr>
        <w:spacing w:after="0" w:line="5" w:lineRule="exact"/>
        <w:rPr>
          <w:sz w:val="20"/>
          <w:szCs w:val="20"/>
          <w:color w:val="auto"/>
        </w:rPr>
      </w:pPr>
    </w:p>
    <w:p>
      <w:pPr>
        <w:ind w:right="360"/>
        <w:spacing w:after="0" w:line="281" w:lineRule="auto"/>
        <w:rPr>
          <w:sz w:val="20"/>
          <w:szCs w:val="20"/>
          <w:color w:val="auto"/>
        </w:rPr>
      </w:pPr>
      <w:r>
        <w:rPr>
          <w:rFonts w:ascii="Arial" w:cs="Arial" w:eastAsia="Arial" w:hAnsi="Arial"/>
          <w:sz w:val="20"/>
          <w:szCs w:val="20"/>
          <w:color w:val="auto"/>
        </w:rPr>
        <w:t>Debido al auge de internet y las nuevas tecnologías, los costos de transacción cayeron, de forma que resulta muy útil leer la ley en forma inversa: “Las empresas deben replegarse hasta que el coste que supone realizar una transacción de forma interna no supere el coste que implica realizarla de forma externa.”</w:t>
      </w:r>
    </w:p>
    <w:p>
      <w:pPr>
        <w:spacing w:after="0" w:line="3" w:lineRule="exact"/>
        <w:rPr>
          <w:sz w:val="20"/>
          <w:szCs w:val="20"/>
          <w:color w:val="auto"/>
        </w:rPr>
      </w:pPr>
    </w:p>
    <w:p>
      <w:pPr>
        <w:ind w:right="520"/>
        <w:spacing w:after="0" w:line="353" w:lineRule="auto"/>
        <w:rPr>
          <w:sz w:val="20"/>
          <w:szCs w:val="20"/>
          <w:color w:val="auto"/>
        </w:rPr>
      </w:pPr>
      <w:r>
        <w:rPr>
          <w:rFonts w:ascii="Arial" w:cs="Arial" w:eastAsia="Arial" w:hAnsi="Arial"/>
          <w:sz w:val="19"/>
          <w:szCs w:val="19"/>
          <w:color w:val="auto"/>
        </w:rPr>
        <w:t>Los costos de transacción hace referencia a todo el proceso de una compra, desde la búsqueda del proveedor, el contacto con el mismo, la negociación o contratación y la coordinación de la misma.</w:t>
      </w:r>
    </w:p>
    <w:p>
      <w:pPr>
        <w:spacing w:after="0" w:line="204" w:lineRule="exact"/>
        <w:rPr>
          <w:sz w:val="20"/>
          <w:szCs w:val="20"/>
          <w:color w:val="auto"/>
        </w:rPr>
      </w:pPr>
    </w:p>
    <w:p>
      <w:pPr>
        <w:spacing w:after="0"/>
        <w:rPr>
          <w:sz w:val="20"/>
          <w:szCs w:val="20"/>
          <w:color w:val="auto"/>
        </w:rPr>
      </w:pPr>
      <w:r>
        <w:rPr>
          <w:rFonts w:ascii="Arial" w:cs="Arial" w:eastAsia="Arial" w:hAnsi="Arial"/>
          <w:sz w:val="28"/>
          <w:szCs w:val="28"/>
          <w:color w:val="434343"/>
        </w:rPr>
        <w:t>Pregunta 5: ¿Qué elementos favorecen la producción colaborativa?</w:t>
      </w:r>
    </w:p>
    <w:p>
      <w:pPr>
        <w:spacing w:after="0" w:line="150" w:lineRule="exact"/>
        <w:rPr>
          <w:sz w:val="20"/>
          <w:szCs w:val="20"/>
          <w:color w:val="auto"/>
        </w:rPr>
      </w:pPr>
    </w:p>
    <w:p>
      <w:pPr>
        <w:ind w:right="120"/>
        <w:spacing w:after="0" w:line="303" w:lineRule="auto"/>
        <w:rPr>
          <w:sz w:val="20"/>
          <w:szCs w:val="20"/>
          <w:color w:val="auto"/>
        </w:rPr>
      </w:pPr>
      <w:r>
        <w:rPr>
          <w:rFonts w:ascii="Arial" w:cs="Arial" w:eastAsia="Arial" w:hAnsi="Arial"/>
          <w:sz w:val="20"/>
          <w:szCs w:val="20"/>
          <w:color w:val="auto"/>
        </w:rPr>
        <w:t>La producción colaborativa se nutre de las nuevas tecnologías y tendencias globales, como la era digital y su nueva economia,ademas se ve favorecida por las motivaciones voluntarias y la tendencia a “eliminar” las barreras geográficas.</w:t>
      </w:r>
    </w:p>
    <w:p>
      <w:pPr>
        <w:spacing w:after="0" w:line="30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3</w:t>
      </w:r>
    </w:p>
    <w:p>
      <w:pPr>
        <w:sectPr>
          <w:pgSz w:w="12240" w:h="15840" w:orient="portrait"/>
          <w:cols w:equalWidth="0" w:num="1">
            <w:col w:w="9360"/>
          </w:cols>
          <w:pgMar w:left="1440" w:top="468" w:right="1440" w:bottom="515" w:gutter="0" w:footer="0" w:header="0"/>
          <w:type w:val="continuous"/>
        </w:sectPr>
      </w:pPr>
    </w:p>
    <w:bookmarkStart w:id="3" w:name="page4"/>
    <w:bookmarkEnd w:id="3"/>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jc w:val="center"/>
        <w:ind w:right="3500"/>
        <w:spacing w:after="0"/>
        <w:rPr>
          <w:sz w:val="20"/>
          <w:szCs w:val="20"/>
          <w:color w:val="auto"/>
        </w:rPr>
      </w:pPr>
      <w:r>
        <w:rPr>
          <w:rFonts w:ascii="Verdana" w:cs="Verdana" w:eastAsia="Verdana" w:hAnsi="Verdana"/>
          <w:sz w:val="20"/>
          <w:szCs w:val="20"/>
          <w:color w:val="auto"/>
        </w:rPr>
        <w:t>TP N° 1 – WIKINOMICS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2762250</wp:posOffset>
            </wp:positionH>
            <wp:positionV relativeFrom="paragraph">
              <wp:posOffset>-129540</wp:posOffset>
            </wp:positionV>
            <wp:extent cx="885825" cy="3333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60" w:space="720"/>
            <w:col w:w="588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right="860"/>
        <w:spacing w:after="0" w:line="321" w:lineRule="auto"/>
        <w:rPr>
          <w:sz w:val="20"/>
          <w:szCs w:val="20"/>
          <w:color w:val="auto"/>
        </w:rPr>
      </w:pPr>
      <w:r>
        <w:rPr>
          <w:rFonts w:ascii="Arial" w:cs="Arial" w:eastAsia="Arial" w:hAnsi="Arial"/>
          <w:sz w:val="28"/>
          <w:szCs w:val="28"/>
          <w:color w:val="434343"/>
        </w:rPr>
        <w:t>Pregunta 6: ¿Qué rol juega la “autoselección” en la producción entre pares?</w:t>
      </w:r>
    </w:p>
    <w:p>
      <w:pPr>
        <w:spacing w:after="0" w:line="1" w:lineRule="exact"/>
        <w:rPr>
          <w:sz w:val="20"/>
          <w:szCs w:val="20"/>
          <w:color w:val="auto"/>
        </w:rPr>
      </w:pPr>
    </w:p>
    <w:p>
      <w:pPr>
        <w:ind w:right="40"/>
        <w:spacing w:after="0" w:line="290" w:lineRule="auto"/>
        <w:rPr>
          <w:sz w:val="20"/>
          <w:szCs w:val="20"/>
          <w:color w:val="auto"/>
        </w:rPr>
      </w:pPr>
      <w:r>
        <w:rPr>
          <w:rFonts w:ascii="Arial" w:cs="Arial" w:eastAsia="Arial" w:hAnsi="Arial"/>
          <w:sz w:val="20"/>
          <w:szCs w:val="20"/>
          <w:color w:val="auto"/>
        </w:rPr>
        <w:t>La producción entre iguales aprovecha motivaciones voluntarias de una manera que propicia la asignación de la persona adecuada con mayor eficacia que las empresas tradicionales. Las personas se autoseleccionan para llevar a cabo tareas creativas basadas en conocimientos, cuando lo hacen, es más probable que escojan tareas para las que poseen una calificación excelente que si la elección depende de gerentes. Por último es importante remarcar que cuando las personas se autoseleccionan, es muy probable que lo hagan en campos de su interés, con lo cual favorece la producción.</w:t>
      </w:r>
    </w:p>
    <w:p>
      <w:pPr>
        <w:spacing w:after="0" w:line="260" w:lineRule="exact"/>
        <w:rPr>
          <w:sz w:val="20"/>
          <w:szCs w:val="20"/>
          <w:color w:val="auto"/>
        </w:rPr>
      </w:pPr>
    </w:p>
    <w:p>
      <w:pPr>
        <w:ind w:right="780"/>
        <w:spacing w:after="0" w:line="321" w:lineRule="auto"/>
        <w:rPr>
          <w:sz w:val="20"/>
          <w:szCs w:val="20"/>
          <w:color w:val="auto"/>
        </w:rPr>
      </w:pPr>
      <w:r>
        <w:rPr>
          <w:rFonts w:ascii="Arial" w:cs="Arial" w:eastAsia="Arial" w:hAnsi="Arial"/>
          <w:sz w:val="28"/>
          <w:szCs w:val="28"/>
          <w:color w:val="434343"/>
        </w:rPr>
        <w:t>Pregunta 7: ¿Bajo qué 3 condiciones se favorece la producción entre iguales?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Las 3 condiciones que favorece la producción entre iguales son:</w:t>
      </w:r>
    </w:p>
    <w:p>
      <w:pPr>
        <w:spacing w:after="0" w:line="41" w:lineRule="exact"/>
        <w:rPr>
          <w:sz w:val="20"/>
          <w:szCs w:val="20"/>
          <w:color w:val="auto"/>
        </w:rPr>
      </w:pPr>
    </w:p>
    <w:p>
      <w:pPr>
        <w:ind w:right="60"/>
        <w:spacing w:after="0" w:line="281" w:lineRule="auto"/>
        <w:tabs>
          <w:tab w:leader="none" w:pos="233" w:val="left"/>
        </w:tabs>
        <w:numPr>
          <w:ilvl w:val="0"/>
          <w:numId w:val="1"/>
        </w:numPr>
        <w:rPr>
          <w:rFonts w:ascii="Arial" w:cs="Arial" w:eastAsia="Arial" w:hAnsi="Arial"/>
          <w:sz w:val="20"/>
          <w:szCs w:val="20"/>
          <w:color w:val="auto"/>
        </w:rPr>
      </w:pPr>
      <w:r>
        <w:rPr>
          <w:rFonts w:ascii="Arial" w:cs="Arial" w:eastAsia="Arial" w:hAnsi="Arial"/>
          <w:sz w:val="20"/>
          <w:szCs w:val="20"/>
          <w:color w:val="auto"/>
        </w:rPr>
        <w:t>Cuando el objeto de la producción es información o cultura, una circunstancia que mantiene a un nivel bajo el coste de participación para las personas que contribuyen;</w:t>
      </w:r>
    </w:p>
    <w:p>
      <w:pPr>
        <w:spacing w:after="0" w:line="1" w:lineRule="exact"/>
        <w:rPr>
          <w:rFonts w:ascii="Arial" w:cs="Arial" w:eastAsia="Arial" w:hAnsi="Arial"/>
          <w:sz w:val="20"/>
          <w:szCs w:val="20"/>
          <w:color w:val="auto"/>
        </w:rPr>
      </w:pPr>
    </w:p>
    <w:p>
      <w:pPr>
        <w:ind w:right="120"/>
        <w:spacing w:after="0" w:line="281" w:lineRule="auto"/>
        <w:tabs>
          <w:tab w:leader="none" w:pos="233" w:val="left"/>
        </w:tabs>
        <w:numPr>
          <w:ilvl w:val="0"/>
          <w:numId w:val="1"/>
        </w:numPr>
        <w:rPr>
          <w:rFonts w:ascii="Arial" w:cs="Arial" w:eastAsia="Arial" w:hAnsi="Arial"/>
          <w:sz w:val="20"/>
          <w:szCs w:val="20"/>
          <w:color w:val="auto"/>
        </w:rPr>
      </w:pPr>
      <w:r>
        <w:rPr>
          <w:rFonts w:ascii="Arial" w:cs="Arial" w:eastAsia="Arial" w:hAnsi="Arial"/>
          <w:sz w:val="20"/>
          <w:szCs w:val="20"/>
          <w:color w:val="auto"/>
        </w:rPr>
        <w:t>Si las tareas pueden descomponerse en porciones reducidas que los individuos pueden aportar con pequeños incrementos y con independencia de los demás productores (a saber, entradas de una enciclopedia o componentes de un programa informático). Esto hace que la inversión global en tiempo y energía resulte mínima en comparación con los beneficios que reciben a cambio.</w:t>
      </w:r>
    </w:p>
    <w:p>
      <w:pPr>
        <w:spacing w:after="0" w:line="2" w:lineRule="exact"/>
        <w:rPr>
          <w:rFonts w:ascii="Arial" w:cs="Arial" w:eastAsia="Arial" w:hAnsi="Arial"/>
          <w:sz w:val="20"/>
          <w:szCs w:val="20"/>
          <w:color w:val="auto"/>
        </w:rPr>
      </w:pPr>
    </w:p>
    <w:p>
      <w:pPr>
        <w:ind w:right="60"/>
        <w:spacing w:after="0" w:line="323" w:lineRule="auto"/>
        <w:tabs>
          <w:tab w:leader="none" w:pos="233" w:val="left"/>
        </w:tabs>
        <w:numPr>
          <w:ilvl w:val="0"/>
          <w:numId w:val="1"/>
        </w:numPr>
        <w:rPr>
          <w:rFonts w:ascii="Arial" w:cs="Arial" w:eastAsia="Arial" w:hAnsi="Arial"/>
          <w:sz w:val="20"/>
          <w:szCs w:val="20"/>
          <w:color w:val="auto"/>
        </w:rPr>
      </w:pPr>
      <w:r>
        <w:rPr>
          <w:rFonts w:ascii="Arial" w:cs="Arial" w:eastAsia="Arial" w:hAnsi="Arial"/>
          <w:sz w:val="20"/>
          <w:szCs w:val="20"/>
          <w:color w:val="auto"/>
        </w:rPr>
        <w:t>Cuando el coste de combinar esas porciones par obtener un producto final terminado, incluyendo aquí el liderazgo y los mecanismos de control de calidad, debe ser bajo.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4</w:t>
      </w:r>
    </w:p>
    <w:sectPr>
      <w:pgSz w:w="12240" w:h="15840" w:orient="portrait"/>
      <w:cols w:equalWidth="0" w:num="1">
        <w:col w:w="9360"/>
      </w:cols>
      <w:pgMar w:left="1440" w:top="468" w:right="1440" w:bottom="5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2020-07-16T09:41:05Z</dcterms:created>
  <dcterms:modified xsi:type="dcterms:W3CDTF">2020-07-16T09:41:05Z</dcterms:modified>
</cp:coreProperties>
</file>